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3"/>
        <w:spacing w:line="360" w:lineRule="auto"/>
        <w:rPr>
          <w:rFonts w:hint="eastAsia" w:ascii="宋体" w:hAnsi="宋体" w:eastAsia="宋体" w:cs="宋体"/>
          <w:b/>
          <w:bCs/>
          <w:color w:val="000000"/>
          <w:spacing w:val="80"/>
          <w:sz w:val="72"/>
          <w:szCs w:val="72"/>
          <w:highlight w:val="none"/>
          <w:lang w:eastAsia="zh-CN"/>
        </w:rPr>
      </w:pPr>
      <w:r>
        <w:rPr>
          <w:rFonts w:hint="eastAsia" w:ascii="宋体" w:hAnsi="宋体" w:eastAsia="宋体" w:cs="宋体"/>
          <w:b/>
          <w:bCs/>
          <w:color w:val="000000"/>
          <w:spacing w:val="80"/>
          <w:sz w:val="72"/>
          <w:szCs w:val="72"/>
          <w:highlight w:val="none"/>
          <w:lang w:eastAsia="zh-CN"/>
        </w:rPr>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jc w:val="center"/>
        <w:spacing w:line="360" w:lineRule="auto"/>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连云港市政府采购</w:t>
      </w:r>
      <w:r>
        <w:rPr>
          <w:rFonts w:hint="eastAsia" w:ascii="宋体" w:hAnsi="宋体" w:eastAsia="宋体" w:cs="宋体"/>
          <w:b/>
          <w:bCs/>
          <w:color w:val="000000"/>
          <w:spacing w:val="80"/>
          <w:sz w:val="72"/>
          <w:szCs w:val="72"/>
          <w:highlight w:val="none"/>
        </w:rPr>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jc w:val="left"/>
        <w:spacing w:line="360" w:lineRule="auto"/>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r>
      <w:r/>
    </w:p>
    <w:p>
      <w:pPr>
        <w:pStyle w:val="813"/>
        <w:jc w:val="center"/>
        <w:spacing w:line="360" w:lineRule="auto"/>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招标文件</w:t>
      </w:r>
      <w:r>
        <w:rPr>
          <w:rFonts w:hint="eastAsia" w:ascii="宋体" w:hAnsi="宋体" w:eastAsia="宋体" w:cs="宋体"/>
          <w:b/>
          <w:bCs/>
          <w:color w:val="000000"/>
          <w:spacing w:val="80"/>
          <w:sz w:val="72"/>
          <w:szCs w:val="72"/>
          <w:highlight w:val="none"/>
        </w:rPr>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ind w:firstLine="947"/>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813"/>
        <w:ind w:firstLine="947"/>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813"/>
        <w:ind w:firstLine="534"/>
        <w:jc w:val="left"/>
        <w:spacing w:line="360" w:lineRule="auto"/>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r>
      <w:r/>
    </w:p>
    <w:p>
      <w:pPr>
        <w:pStyle w:val="813"/>
        <w:ind w:firstLine="1968"/>
        <w:jc w:val="left"/>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rPr>
        <w:t xml:space="preserve">标段名称：</w:t>
      </w:r>
      <w:r>
        <w:rPr>
          <w:rFonts w:hint="eastAsia" w:ascii="宋体" w:hAnsi="宋体" w:eastAsia="宋体" w:cs="宋体"/>
          <w:b/>
          <w:bCs/>
          <w:color w:val="000000"/>
          <w:sz w:val="28"/>
          <w:highlight w:val="none"/>
          <w:lang w:eastAsia="zh-CN"/>
        </w:rPr>
        <w:t xml:space="preserve">环管处渗滤液第三方运行（专门面向中</w:t>
      </w:r>
      <w:r>
        <w:rPr>
          <w:rFonts w:hint="eastAsia" w:ascii="宋体" w:hAnsi="宋体" w:eastAsia="宋体" w:cs="宋体"/>
          <w:b/>
          <w:bCs/>
          <w:color w:val="000000"/>
          <w:sz w:val="28"/>
          <w:highlight w:val="none"/>
          <w:lang w:eastAsia="zh-CN"/>
        </w:rPr>
      </w:r>
      <w:r/>
    </w:p>
    <w:p>
      <w:pPr>
        <w:pStyle w:val="813"/>
        <w:ind w:firstLine="3373"/>
        <w:jc w:val="left"/>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小企业）（</w:t>
      </w:r>
      <w:r>
        <w:rPr>
          <w:rFonts w:hint="eastAsia" w:ascii="宋体" w:hAnsi="宋体" w:eastAsia="宋体" w:cs="宋体"/>
          <w:b/>
          <w:bCs/>
          <w:color w:val="000000"/>
          <w:sz w:val="28"/>
          <w:highlight w:val="none"/>
          <w:lang w:val="en-US" w:eastAsia="zh-CN"/>
        </w:rPr>
        <w:t xml:space="preserve">二次</w:t>
      </w:r>
      <w:r>
        <w:rPr>
          <w:rFonts w:hint="eastAsia" w:ascii="宋体" w:hAnsi="宋体" w:eastAsia="宋体" w:cs="宋体"/>
          <w:b/>
          <w:bCs/>
          <w:color w:val="000000"/>
          <w:sz w:val="28"/>
          <w:highlight w:val="none"/>
          <w:lang w:eastAsia="zh-CN"/>
        </w:rPr>
        <w:t xml:space="preserve">）</w:t>
      </w:r>
      <w:r>
        <w:rPr>
          <w:rFonts w:hint="eastAsia" w:ascii="宋体" w:hAnsi="宋体" w:eastAsia="宋体" w:cs="宋体"/>
          <w:b/>
          <w:bCs/>
          <w:color w:val="000000"/>
          <w:sz w:val="28"/>
          <w:highlight w:val="none"/>
          <w:lang w:eastAsia="zh-CN"/>
        </w:rPr>
      </w:r>
      <w:r/>
    </w:p>
    <w:p>
      <w:pPr>
        <w:pStyle w:val="813"/>
        <w:ind w:firstLine="1968"/>
        <w:spacing w:line="360" w:lineRule="auto"/>
        <w:rPr>
          <w:rFonts w:hint="eastAsia" w:ascii="宋体" w:hAnsi="宋体" w:eastAsia="宋体" w:cs="宋体"/>
          <w:color w:val="000000"/>
          <w:highlight w:val="none"/>
          <w:lang w:eastAsia="zh-CN"/>
        </w:rPr>
      </w:pPr>
      <w:r>
        <w:rPr>
          <w:rFonts w:hint="eastAsia" w:ascii="宋体" w:hAnsi="宋体" w:eastAsia="宋体" w:cs="宋体"/>
          <w:b/>
          <w:bCs/>
          <w:color w:val="000000"/>
          <w:sz w:val="28"/>
          <w:highlight w:val="none"/>
        </w:rPr>
        <w:t xml:space="preserve">标段编号：JSZC-320700-HRGJ-G2026-0010</w:t>
      </w:r>
      <w:r>
        <w:rPr>
          <w:rFonts w:hint="eastAsia" w:ascii="宋体" w:hAnsi="宋体" w:eastAsia="宋体" w:cs="宋体"/>
          <w:color w:val="000000"/>
          <w:highlight w:val="none"/>
          <w:lang w:eastAsia="zh-CN"/>
        </w:rPr>
      </w:r>
      <w:r/>
    </w:p>
    <w:p>
      <w:pPr>
        <w:pStyle w:val="813"/>
        <w:ind w:right="-993"/>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813"/>
        <w:ind w:right="-993"/>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spacing w:before="120" w:after="120" w:line="360" w:lineRule="auto"/>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pPr>
        <w:pStyle w:val="813"/>
        <w:ind w:left="840" w:firstLine="560"/>
        <w:spacing w:before="120" w:after="120" w:line="360" w:lineRule="auto"/>
        <w:rPr>
          <w:rFonts w:hint="eastAsia" w:ascii="宋体" w:hAnsi="宋体" w:eastAsia="宋体" w:cs="宋体"/>
          <w:bCs/>
          <w:color w:val="000000"/>
          <w:sz w:val="28"/>
          <w:szCs w:val="22"/>
          <w:highlight w:val="none"/>
          <w:lang w:eastAsia="zh-CN"/>
        </w:rPr>
      </w:pPr>
      <w:r>
        <w:rPr>
          <w:rFonts w:hint="eastAsia" w:ascii="宋体" w:hAnsi="宋体" w:eastAsia="宋体" w:cs="宋体"/>
          <w:bCs/>
          <w:color w:val="000000"/>
          <w:sz w:val="28"/>
          <w:szCs w:val="22"/>
          <w:highlight w:val="none"/>
        </w:rPr>
        <w:t xml:space="preserve">采   购   人：</w:t>
      </w:r>
      <w:r>
        <w:rPr>
          <w:rFonts w:hint="eastAsia" w:ascii="宋体" w:hAnsi="宋体" w:eastAsia="宋体" w:cs="宋体"/>
          <w:bCs/>
          <w:color w:val="000000"/>
          <w:sz w:val="28"/>
          <w:szCs w:val="22"/>
          <w:highlight w:val="none"/>
          <w:lang w:eastAsia="zh-CN"/>
        </w:rPr>
        <w:t xml:space="preserve">连云港市环境卫生管理处</w:t>
      </w:r>
      <w:r>
        <w:rPr>
          <w:rFonts w:hint="eastAsia" w:ascii="宋体" w:hAnsi="宋体" w:eastAsia="宋体" w:cs="宋体"/>
          <w:bCs/>
          <w:color w:val="000000"/>
          <w:sz w:val="28"/>
          <w:szCs w:val="22"/>
          <w:highlight w:val="none"/>
          <w:lang w:eastAsia="zh-CN"/>
        </w:rPr>
      </w:r>
      <w:r/>
    </w:p>
    <w:p>
      <w:pPr>
        <w:pStyle w:val="813"/>
        <w:ind w:left="840" w:firstLine="560"/>
        <w:jc w:val="left"/>
        <w:spacing w:before="120" w:after="120" w:line="360" w:lineRule="auto"/>
        <w:rPr>
          <w:rFonts w:hint="eastAsia" w:ascii="宋体" w:hAnsi="宋体" w:eastAsia="宋体" w:cs="宋体"/>
          <w:bCs/>
          <w:color w:val="000000"/>
          <w:sz w:val="28"/>
          <w:szCs w:val="22"/>
          <w:highlight w:val="none"/>
          <w:lang w:eastAsia="zh-CN"/>
        </w:rPr>
      </w:pPr>
      <w:r>
        <w:rPr>
          <w:rFonts w:hint="eastAsia" w:ascii="宋体" w:hAnsi="宋体" w:eastAsia="宋体" w:cs="宋体"/>
          <w:bCs/>
          <w:color w:val="000000"/>
          <w:sz w:val="28"/>
          <w:szCs w:val="22"/>
          <w:highlight w:val="none"/>
        </w:rPr>
        <w:t xml:space="preserve">采购代理机构：</w:t>
      </w:r>
      <w:r>
        <w:rPr>
          <w:rFonts w:hint="eastAsia" w:ascii="宋体" w:hAnsi="宋体" w:eastAsia="宋体" w:cs="宋体"/>
          <w:bCs/>
          <w:color w:val="000000"/>
          <w:sz w:val="28"/>
          <w:szCs w:val="22"/>
          <w:highlight w:val="none"/>
          <w:lang w:eastAsia="zh-CN"/>
        </w:rPr>
        <w:t xml:space="preserve">华瑞国际工程咨询集团有限公司</w:t>
      </w:r>
      <w:r>
        <w:rPr>
          <w:rFonts w:hint="eastAsia" w:ascii="宋体" w:hAnsi="宋体" w:eastAsia="宋体" w:cs="宋体"/>
          <w:bCs/>
          <w:color w:val="000000"/>
          <w:sz w:val="28"/>
          <w:szCs w:val="22"/>
          <w:highlight w:val="none"/>
          <w:lang w:eastAsia="zh-CN"/>
        </w:rPr>
      </w:r>
      <w:r/>
    </w:p>
    <w:p>
      <w:pPr>
        <w:pStyle w:val="813"/>
        <w:ind w:left="840" w:firstLine="2800"/>
        <w:jc w:val="both"/>
        <w:spacing w:before="120" w:after="120" w:line="360" w:lineRule="auto"/>
        <w:rPr>
          <w:rFonts w:hint="eastAsia" w:ascii="宋体" w:hAnsi="宋体" w:eastAsia="宋体" w:cs="宋体"/>
          <w:bCs/>
          <w:color w:val="000000"/>
          <w:sz w:val="28"/>
          <w:szCs w:val="22"/>
          <w:highlight w:val="none"/>
          <w:lang w:eastAsia="zh-CN"/>
        </w:rPr>
      </w:pPr>
      <w:r>
        <w:rPr>
          <w:rFonts w:hint="eastAsia" w:ascii="宋体" w:hAnsi="宋体" w:eastAsia="宋体" w:cs="宋体"/>
          <w:bCs/>
          <w:color w:val="000000"/>
          <w:sz w:val="28"/>
          <w:szCs w:val="22"/>
          <w:highlight w:val="none"/>
          <w:lang w:eastAsia="zh-CN"/>
        </w:rPr>
        <w:t xml:space="preserve">202</w:t>
      </w:r>
      <w:r>
        <w:rPr>
          <w:rFonts w:hint="eastAsia" w:ascii="宋体" w:hAnsi="宋体" w:eastAsia="宋体" w:cs="宋体"/>
          <w:bCs/>
          <w:color w:val="000000"/>
          <w:sz w:val="28"/>
          <w:szCs w:val="22"/>
          <w:highlight w:val="none"/>
          <w:lang w:val="en-US" w:eastAsia="zh-CN"/>
        </w:rPr>
        <w:t xml:space="preserve">6</w:t>
      </w:r>
      <w:r>
        <w:rPr>
          <w:rFonts w:hint="eastAsia" w:ascii="宋体" w:hAnsi="宋体" w:eastAsia="宋体" w:cs="宋体"/>
          <w:bCs/>
          <w:color w:val="000000"/>
          <w:sz w:val="28"/>
          <w:szCs w:val="22"/>
          <w:highlight w:val="none"/>
          <w:lang w:eastAsia="zh-CN"/>
        </w:rPr>
        <w:t xml:space="preserve">年</w:t>
      </w:r>
      <w:r>
        <w:rPr>
          <w:rFonts w:hint="eastAsia" w:ascii="宋体" w:hAnsi="宋体" w:eastAsia="宋体" w:cs="宋体"/>
          <w:bCs/>
          <w:color w:val="000000"/>
          <w:sz w:val="28"/>
          <w:szCs w:val="22"/>
          <w:highlight w:val="none"/>
          <w:lang w:val="en-US" w:eastAsia="zh-CN"/>
        </w:rPr>
        <w:t xml:space="preserve">05</w:t>
      </w:r>
      <w:r>
        <w:rPr>
          <w:rFonts w:hint="eastAsia" w:ascii="宋体" w:hAnsi="宋体" w:eastAsia="宋体" w:cs="宋体"/>
          <w:bCs/>
          <w:color w:val="000000"/>
          <w:sz w:val="28"/>
          <w:szCs w:val="22"/>
          <w:highlight w:val="none"/>
          <w:lang w:eastAsia="zh-CN"/>
        </w:rPr>
        <w:t xml:space="preserve">月</w:t>
      </w:r>
      <w:r>
        <w:rPr>
          <w:rFonts w:hint="eastAsia" w:ascii="宋体" w:hAnsi="宋体" w:eastAsia="宋体" w:cs="宋体"/>
          <w:bCs/>
          <w:color w:val="000000"/>
          <w:sz w:val="28"/>
          <w:szCs w:val="22"/>
          <w:highlight w:val="none"/>
          <w:lang w:eastAsia="zh-CN"/>
        </w:rPr>
      </w:r>
      <w:r/>
    </w:p>
    <w:p>
      <w:pPr>
        <w:pStyle w:val="813"/>
        <w:jc w:val="center"/>
        <w:keepLines/>
        <w:keepNext/>
        <w:spacing w:line="360" w:lineRule="auto"/>
        <w:rPr>
          <w:rFonts w:hint="eastAsia" w:ascii="宋体" w:hAnsi="宋体" w:eastAsia="宋体" w:cs="宋体"/>
          <w:b/>
          <w:color w:val="000000"/>
          <w:sz w:val="28"/>
          <w:szCs w:val="20"/>
          <w:highlight w:val="none"/>
        </w:rPr>
        <w:outlineLvl w:val="0"/>
      </w:pPr>
      <w:r>
        <w:rPr>
          <w:rFonts w:hint="eastAsia" w:ascii="宋体" w:hAnsi="宋体" w:eastAsia="宋体" w:cs="宋体"/>
          <w:b/>
          <w:color w:val="000000"/>
          <w:sz w:val="28"/>
          <w:szCs w:val="20"/>
          <w:highlight w:val="none"/>
        </w:rPr>
        <w:br w:type="page" w:clear="all"/>
      </w:r>
      <w:bookmarkStart w:id="0" w:name="_Toc3580"/>
      <w:r>
        <w:rPr>
          <w:rFonts w:hint="eastAsia" w:ascii="宋体" w:hAnsi="宋体" w:eastAsia="宋体" w:cs="宋体"/>
          <w:b/>
          <w:color w:val="000000"/>
          <w:sz w:val="28"/>
          <w:szCs w:val="20"/>
          <w:highlight w:val="none"/>
        </w:rPr>
      </w:r>
      <w:r/>
    </w:p>
    <w:p>
      <w:pPr>
        <w:pStyle w:val="813"/>
        <w:jc w:val="center"/>
        <w:keepLines/>
        <w:keepNext/>
        <w:spacing w:line="360" w:lineRule="auto"/>
        <w:rPr>
          <w:rFonts w:hint="eastAsia" w:ascii="宋体" w:hAnsi="宋体" w:eastAsia="宋体" w:cs="宋体"/>
          <w:b/>
          <w:color w:val="000000"/>
          <w:sz w:val="28"/>
          <w:szCs w:val="20"/>
          <w:highlight w:val="none"/>
        </w:rPr>
        <w:outlineLvl w:val="0"/>
      </w:pPr>
      <w:r>
        <w:rPr>
          <w:rFonts w:hint="eastAsia" w:ascii="宋体" w:hAnsi="宋体" w:eastAsia="宋体" w:cs="宋体"/>
          <w:b/>
          <w:color w:val="000000"/>
          <w:sz w:val="28"/>
          <w:szCs w:val="20"/>
          <w:highlight w:val="none"/>
        </w:rPr>
      </w:r>
      <w:r/>
    </w:p>
    <w:p>
      <w:pPr>
        <w:pStyle w:val="813"/>
        <w:jc w:val="center"/>
        <w:keepLines/>
        <w:keepNext/>
        <w:spacing w:line="360" w:lineRule="auto"/>
        <w:rPr>
          <w:rFonts w:hint="eastAsia" w:ascii="宋体" w:hAnsi="宋体" w:eastAsia="宋体" w:cs="宋体"/>
          <w:b/>
          <w:color w:val="000000"/>
          <w:sz w:val="36"/>
          <w:szCs w:val="20"/>
          <w:highlight w:val="none"/>
        </w:rPr>
        <w:outlineLvl w:val="0"/>
      </w:pPr>
      <w:r/>
      <w:bookmarkStart w:id="1" w:name="_Toc29595"/>
      <w:r/>
      <w:bookmarkStart w:id="2" w:name="_Toc12618"/>
      <w:r>
        <w:rPr>
          <w:rFonts w:hint="eastAsia" w:ascii="宋体" w:hAnsi="宋体" w:eastAsia="宋体" w:cs="宋体"/>
          <w:color w:val="000000"/>
          <w:sz w:val="36"/>
          <w:szCs w:val="20"/>
          <w:highlight w:val="none"/>
        </w:rPr>
        <w:t xml:space="preserve">目  录</w:t>
      </w:r>
      <w:bookmarkEnd w:id="0"/>
      <w:r/>
      <w:bookmarkEnd w:id="1"/>
      <w:r/>
      <w:bookmarkEnd w:id="2"/>
      <w:r>
        <w:rPr>
          <w:rFonts w:hint="eastAsia" w:ascii="宋体" w:hAnsi="宋体" w:eastAsia="宋体" w:cs="宋体"/>
          <w:b/>
          <w:color w:val="000000"/>
          <w:sz w:val="36"/>
          <w:szCs w:val="20"/>
          <w:highlight w:val="none"/>
        </w:rPr>
      </w:r>
      <w:r/>
    </w:p>
    <w:p>
      <w:pPr>
        <w:pStyle w:val="858"/>
        <w:ind w:left="0" w:firstLine="0"/>
        <w:tabs>
          <w:tab w:val="right" w:pos="9638" w:leader="dot"/>
        </w:tabs>
        <w:rPr>
          <w:rFonts w:hint="eastAsia" w:ascii="宋体" w:hAnsi="宋体" w:eastAsia="宋体" w:cs="宋体"/>
          <w:color w:val="000000"/>
          <w:highlight w:val="none"/>
        </w:rPr>
      </w:pPr>
      <w:r>
        <w:rPr>
          <w:rFonts w:hint="eastAsia" w:ascii="宋体" w:hAnsi="宋体" w:eastAsia="宋体" w:cs="宋体"/>
          <w:b w:val="0"/>
          <w:bCs w:val="0"/>
          <w:i w:val="0"/>
          <w:iCs w:val="0"/>
          <w:color w:val="000000"/>
          <w:sz w:val="28"/>
          <w:szCs w:val="28"/>
          <w:highlight w:val="none"/>
        </w:rPr>
        <w:fldChar w:fldCharType="begin"/>
      </w:r>
      <w:r>
        <w:rPr>
          <w:rFonts w:hint="eastAsia" w:ascii="宋体" w:hAnsi="宋体" w:eastAsia="宋体" w:cs="宋体"/>
          <w:b w:val="0"/>
          <w:bCs w:val="0"/>
          <w:i w:val="0"/>
          <w:iCs w:val="0"/>
          <w:color w:val="000000"/>
          <w:sz w:val="28"/>
          <w:szCs w:val="28"/>
          <w:highlight w:val="none"/>
        </w:rPr>
        <w:instrText xml:space="preserve">TOC \o "1-1" \h \u </w:instrText>
      </w:r>
      <w:r>
        <w:rPr>
          <w:rFonts w:hint="eastAsia" w:ascii="宋体" w:hAnsi="宋体" w:eastAsia="宋体" w:cs="宋体"/>
          <w:b w:val="0"/>
          <w:bCs w:val="0"/>
          <w:i w:val="0"/>
          <w:iCs w:val="0"/>
          <w:color w:val="000000"/>
          <w:sz w:val="28"/>
          <w:szCs w:val="28"/>
          <w:highlight w:val="none"/>
        </w:rPr>
        <w:fldChar w:fldCharType="separate"/>
      </w:r>
      <w:r>
        <w:rPr>
          <w:rFonts w:hint="eastAsia" w:ascii="宋体" w:hAnsi="宋体" w:eastAsia="宋体" w:cs="宋体"/>
          <w:color w:val="000000"/>
          <w:highlight w:val="none"/>
        </w:rPr>
      </w:r>
      <w:r/>
    </w:p>
    <w:p>
      <w:pPr>
        <w:pStyle w:val="858"/>
        <w:tabs>
          <w:tab w:val="right" w:pos="963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color w:val="000000"/>
          <w:sz w:val="28"/>
          <w:szCs w:val="32"/>
          <w:highlight w:val="none"/>
        </w:rPr>
        <w:instrText xml:space="preserve"> HYPERLINK \l _Toc21025 </w:instrText>
      </w:r>
      <w:r>
        <w:rPr>
          <w:rFonts w:hint="eastAsia" w:ascii="宋体" w:hAnsi="宋体" w:eastAsia="宋体" w:cs="宋体"/>
          <w:b w:val="0"/>
          <w:bCs w:val="0"/>
          <w:i w:val="0"/>
          <w:iCs w:val="0"/>
          <w:color w:val="000000"/>
          <w:sz w:val="28"/>
          <w:szCs w:val="32"/>
          <w:highlight w:val="none"/>
        </w:rPr>
        <w:fldChar w:fldCharType="separate"/>
      </w:r>
      <w:r>
        <w:rPr>
          <w:rFonts w:hint="eastAsia" w:ascii="宋体" w:hAnsi="宋体" w:eastAsia="宋体" w:cs="宋体"/>
          <w:b w:val="0"/>
          <w:bCs w:val="0"/>
          <w:i w:val="0"/>
          <w:iCs w:val="0"/>
          <w:color w:val="000000"/>
          <w:sz w:val="28"/>
          <w:szCs w:val="21"/>
          <w:highlight w:val="none"/>
        </w:rPr>
        <w:t xml:space="preserve">第一章 投标邀请</w:t>
      </w:r>
      <w:r>
        <w:rPr>
          <w:rFonts w:hint="eastAsia" w:ascii="宋体" w:hAnsi="宋体" w:eastAsia="宋体" w:cs="宋体"/>
          <w:b w:val="0"/>
          <w:bCs w:val="0"/>
          <w:i w:val="0"/>
          <w:iCs w:val="0"/>
          <w:color w:val="000000"/>
          <w:sz w:val="28"/>
          <w:szCs w:val="28"/>
          <w:highlight w:val="none"/>
        </w:rPr>
        <w:tab/>
      </w:r>
      <w:r>
        <w:rPr>
          <w:rFonts w:hint="eastAsia" w:ascii="宋体" w:hAnsi="宋体" w:eastAsia="宋体" w:cs="宋体"/>
          <w:b w:val="0"/>
          <w:bCs w:val="0"/>
          <w:i w:val="0"/>
          <w:iCs w:val="0"/>
          <w:color w:val="000000"/>
          <w:sz w:val="28"/>
          <w:szCs w:val="28"/>
          <w:highlight w:val="none"/>
        </w:rPr>
        <w:fldChar w:fldCharType="begin"/>
      </w:r>
      <w:r>
        <w:rPr>
          <w:rFonts w:hint="eastAsia" w:ascii="宋体" w:hAnsi="宋体" w:eastAsia="宋体" w:cs="宋体"/>
          <w:b w:val="0"/>
          <w:bCs w:val="0"/>
          <w:i w:val="0"/>
          <w:iCs w:val="0"/>
          <w:color w:val="000000"/>
          <w:sz w:val="28"/>
          <w:szCs w:val="28"/>
          <w:highlight w:val="none"/>
        </w:rPr>
        <w:instrText xml:space="preserve"> PAGEREF _Toc21025 \h </w:instrText>
      </w:r>
      <w:r>
        <w:rPr>
          <w:rFonts w:hint="eastAsia" w:ascii="宋体" w:hAnsi="宋体" w:eastAsia="宋体" w:cs="宋体"/>
          <w:b w:val="0"/>
          <w:bCs w:val="0"/>
          <w:i w:val="0"/>
          <w:iCs w:val="0"/>
          <w:color w:val="000000"/>
          <w:sz w:val="28"/>
          <w:szCs w:val="28"/>
          <w:highlight w:val="none"/>
        </w:rPr>
        <w:fldChar w:fldCharType="separate"/>
      </w:r>
      <w:r>
        <w:rPr>
          <w:rFonts w:hint="eastAsia" w:ascii="宋体" w:hAnsi="宋体" w:eastAsia="宋体" w:cs="宋体"/>
          <w:b w:val="0"/>
          <w:bCs w:val="0"/>
          <w:i w:val="0"/>
          <w:iCs w:val="0"/>
          <w:color w:val="000000"/>
          <w:sz w:val="28"/>
          <w:szCs w:val="28"/>
          <w:highlight w:val="none"/>
        </w:rPr>
        <w:t xml:space="preserve">1</w:t>
      </w:r>
      <w:r>
        <w:rPr>
          <w:rFonts w:hint="eastAsia" w:ascii="宋体" w:hAnsi="宋体" w:eastAsia="宋体" w:cs="宋体"/>
          <w:b w:val="0"/>
          <w:bCs w:val="0"/>
          <w:i w:val="0"/>
          <w:iCs w:val="0"/>
          <w:color w:val="000000"/>
          <w:sz w:val="28"/>
          <w:szCs w:val="28"/>
          <w:highlight w:val="none"/>
        </w:rPr>
        <w:fldChar w:fldCharType="end"/>
      </w:r>
      <w:r>
        <w:rPr>
          <w:rFonts w:hint="eastAsia" w:ascii="宋体" w:hAnsi="宋体" w:eastAsia="宋体" w:cs="宋体"/>
          <w:b w:val="0"/>
          <w:bCs w:val="0"/>
          <w:i w:val="0"/>
          <w:iCs w:val="0"/>
          <w:color w:val="000000"/>
          <w:sz w:val="28"/>
          <w:szCs w:val="32"/>
          <w:highlight w:val="none"/>
        </w:rPr>
        <w:fldChar w:fldCharType="end"/>
      </w:r>
      <w:r>
        <w:rPr>
          <w:rFonts w:hint="eastAsia" w:ascii="宋体" w:hAnsi="宋体" w:eastAsia="宋体" w:cs="宋体"/>
          <w:b w:val="0"/>
          <w:bCs w:val="0"/>
          <w:i w:val="0"/>
          <w:iCs w:val="0"/>
          <w:color w:val="000000"/>
          <w:sz w:val="28"/>
          <w:szCs w:val="28"/>
          <w:highlight w:val="none"/>
        </w:rPr>
      </w:r>
      <w:r/>
    </w:p>
    <w:p>
      <w:pPr>
        <w:pStyle w:val="858"/>
        <w:tabs>
          <w:tab w:val="right" w:pos="963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color w:val="000000"/>
          <w:sz w:val="28"/>
          <w:szCs w:val="32"/>
          <w:highlight w:val="none"/>
        </w:rPr>
        <w:instrText xml:space="preserve"> HYPERLINK \l _Toc16971 </w:instrText>
      </w:r>
      <w:r>
        <w:rPr>
          <w:rFonts w:hint="eastAsia" w:ascii="宋体" w:hAnsi="宋体" w:eastAsia="宋体" w:cs="宋体"/>
          <w:b w:val="0"/>
          <w:bCs w:val="0"/>
          <w:i w:val="0"/>
          <w:iCs w:val="0"/>
          <w:color w:val="000000"/>
          <w:sz w:val="28"/>
          <w:szCs w:val="32"/>
          <w:highlight w:val="none"/>
        </w:rPr>
        <w:fldChar w:fldCharType="separate"/>
      </w:r>
      <w:r>
        <w:rPr>
          <w:rFonts w:hint="eastAsia" w:ascii="宋体" w:hAnsi="宋体" w:eastAsia="宋体" w:cs="宋体"/>
          <w:b w:val="0"/>
          <w:bCs w:val="0"/>
          <w:i w:val="0"/>
          <w:iCs w:val="0"/>
          <w:color w:val="000000"/>
          <w:sz w:val="28"/>
          <w:szCs w:val="21"/>
          <w:highlight w:val="none"/>
        </w:rPr>
        <w:t xml:space="preserve">第二章  投标人须知</w:t>
      </w:r>
      <w:r>
        <w:rPr>
          <w:rFonts w:hint="eastAsia" w:ascii="宋体" w:hAnsi="宋体" w:eastAsia="宋体" w:cs="宋体"/>
          <w:b w:val="0"/>
          <w:bCs w:val="0"/>
          <w:i w:val="0"/>
          <w:iCs w:val="0"/>
          <w:color w:val="000000"/>
          <w:sz w:val="28"/>
          <w:szCs w:val="28"/>
          <w:highlight w:val="none"/>
        </w:rPr>
        <w:tab/>
      </w:r>
      <w:r>
        <w:rPr>
          <w:rFonts w:hint="eastAsia" w:ascii="宋体" w:hAnsi="宋体" w:eastAsia="宋体" w:cs="宋体"/>
          <w:b w:val="0"/>
          <w:bCs w:val="0"/>
          <w:i w:val="0"/>
          <w:iCs w:val="0"/>
          <w:color w:val="000000"/>
          <w:sz w:val="28"/>
          <w:szCs w:val="28"/>
          <w:highlight w:val="none"/>
        </w:rPr>
        <w:fldChar w:fldCharType="begin"/>
      </w:r>
      <w:r>
        <w:rPr>
          <w:rFonts w:hint="eastAsia" w:ascii="宋体" w:hAnsi="宋体" w:eastAsia="宋体" w:cs="宋体"/>
          <w:b w:val="0"/>
          <w:bCs w:val="0"/>
          <w:i w:val="0"/>
          <w:iCs w:val="0"/>
          <w:color w:val="000000"/>
          <w:sz w:val="28"/>
          <w:szCs w:val="28"/>
          <w:highlight w:val="none"/>
        </w:rPr>
        <w:instrText xml:space="preserve"> PAGEREF _Toc16971 \h </w:instrText>
      </w:r>
      <w:r>
        <w:rPr>
          <w:rFonts w:hint="eastAsia" w:ascii="宋体" w:hAnsi="宋体" w:eastAsia="宋体" w:cs="宋体"/>
          <w:b w:val="0"/>
          <w:bCs w:val="0"/>
          <w:i w:val="0"/>
          <w:iCs w:val="0"/>
          <w:color w:val="000000"/>
          <w:sz w:val="28"/>
          <w:szCs w:val="28"/>
          <w:highlight w:val="none"/>
        </w:rPr>
        <w:fldChar w:fldCharType="separate"/>
      </w:r>
      <w:r>
        <w:rPr>
          <w:rFonts w:hint="eastAsia" w:ascii="宋体" w:hAnsi="宋体" w:eastAsia="宋体" w:cs="宋体"/>
          <w:b w:val="0"/>
          <w:bCs w:val="0"/>
          <w:i w:val="0"/>
          <w:iCs w:val="0"/>
          <w:color w:val="000000"/>
          <w:sz w:val="28"/>
          <w:szCs w:val="28"/>
          <w:highlight w:val="none"/>
        </w:rPr>
        <w:t xml:space="preserve">5</w:t>
      </w:r>
      <w:r>
        <w:rPr>
          <w:rFonts w:hint="eastAsia" w:ascii="宋体" w:hAnsi="宋体" w:eastAsia="宋体" w:cs="宋体"/>
          <w:b w:val="0"/>
          <w:bCs w:val="0"/>
          <w:i w:val="0"/>
          <w:iCs w:val="0"/>
          <w:color w:val="000000"/>
          <w:sz w:val="28"/>
          <w:szCs w:val="28"/>
          <w:highlight w:val="none"/>
        </w:rPr>
        <w:fldChar w:fldCharType="end"/>
      </w:r>
      <w:r>
        <w:rPr>
          <w:rFonts w:hint="eastAsia" w:ascii="宋体" w:hAnsi="宋体" w:eastAsia="宋体" w:cs="宋体"/>
          <w:b w:val="0"/>
          <w:bCs w:val="0"/>
          <w:i w:val="0"/>
          <w:iCs w:val="0"/>
          <w:color w:val="000000"/>
          <w:sz w:val="28"/>
          <w:szCs w:val="32"/>
          <w:highlight w:val="none"/>
        </w:rPr>
        <w:fldChar w:fldCharType="end"/>
      </w:r>
      <w:r>
        <w:rPr>
          <w:rFonts w:hint="eastAsia" w:ascii="宋体" w:hAnsi="宋体" w:eastAsia="宋体" w:cs="宋体"/>
          <w:b w:val="0"/>
          <w:bCs w:val="0"/>
          <w:i w:val="0"/>
          <w:iCs w:val="0"/>
          <w:color w:val="000000"/>
          <w:sz w:val="28"/>
          <w:szCs w:val="28"/>
          <w:highlight w:val="none"/>
        </w:rPr>
      </w:r>
      <w:r/>
    </w:p>
    <w:p>
      <w:pPr>
        <w:pStyle w:val="858"/>
        <w:tabs>
          <w:tab w:val="right" w:pos="963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color w:val="000000"/>
          <w:sz w:val="28"/>
          <w:szCs w:val="32"/>
          <w:highlight w:val="none"/>
        </w:rPr>
        <w:instrText xml:space="preserve"> HYPERLINK \l _Toc14026 </w:instrText>
      </w:r>
      <w:r>
        <w:rPr>
          <w:rFonts w:hint="eastAsia" w:ascii="宋体" w:hAnsi="宋体" w:eastAsia="宋体" w:cs="宋体"/>
          <w:b w:val="0"/>
          <w:bCs w:val="0"/>
          <w:i w:val="0"/>
          <w:iCs w:val="0"/>
          <w:color w:val="000000"/>
          <w:sz w:val="28"/>
          <w:szCs w:val="32"/>
          <w:highlight w:val="none"/>
        </w:rPr>
        <w:fldChar w:fldCharType="separate"/>
      </w:r>
      <w:r>
        <w:rPr>
          <w:rFonts w:hint="eastAsia" w:ascii="宋体" w:hAnsi="宋体" w:eastAsia="宋体" w:cs="宋体"/>
          <w:b w:val="0"/>
          <w:bCs w:val="0"/>
          <w:i w:val="0"/>
          <w:iCs w:val="0"/>
          <w:color w:val="000000"/>
          <w:sz w:val="28"/>
          <w:szCs w:val="21"/>
          <w:highlight w:val="none"/>
        </w:rPr>
        <w:t xml:space="preserve">第三章  政府采购合同格式</w:t>
      </w:r>
      <w:r>
        <w:rPr>
          <w:rFonts w:hint="eastAsia" w:ascii="宋体" w:hAnsi="宋体" w:eastAsia="宋体" w:cs="宋体"/>
          <w:b w:val="0"/>
          <w:bCs w:val="0"/>
          <w:i w:val="0"/>
          <w:iCs w:val="0"/>
          <w:color w:val="000000"/>
          <w:sz w:val="28"/>
          <w:szCs w:val="28"/>
          <w:highlight w:val="none"/>
        </w:rPr>
        <w:tab/>
      </w:r>
      <w:r>
        <w:rPr>
          <w:rFonts w:hint="eastAsia" w:ascii="宋体" w:hAnsi="宋体" w:eastAsia="宋体" w:cs="宋体"/>
          <w:b w:val="0"/>
          <w:bCs w:val="0"/>
          <w:i w:val="0"/>
          <w:iCs w:val="0"/>
          <w:color w:val="000000"/>
          <w:sz w:val="28"/>
          <w:szCs w:val="28"/>
          <w:highlight w:val="none"/>
        </w:rPr>
        <w:fldChar w:fldCharType="begin"/>
      </w:r>
      <w:r>
        <w:rPr>
          <w:rFonts w:hint="eastAsia" w:ascii="宋体" w:hAnsi="宋体" w:eastAsia="宋体" w:cs="宋体"/>
          <w:b w:val="0"/>
          <w:bCs w:val="0"/>
          <w:i w:val="0"/>
          <w:iCs w:val="0"/>
          <w:color w:val="000000"/>
          <w:sz w:val="28"/>
          <w:szCs w:val="28"/>
          <w:highlight w:val="none"/>
        </w:rPr>
        <w:instrText xml:space="preserve"> PAGEREF _Toc14026 \h </w:instrText>
      </w:r>
      <w:r>
        <w:rPr>
          <w:rFonts w:hint="eastAsia" w:ascii="宋体" w:hAnsi="宋体" w:eastAsia="宋体" w:cs="宋体"/>
          <w:b w:val="0"/>
          <w:bCs w:val="0"/>
          <w:i w:val="0"/>
          <w:iCs w:val="0"/>
          <w:color w:val="000000"/>
          <w:sz w:val="28"/>
          <w:szCs w:val="28"/>
          <w:highlight w:val="none"/>
        </w:rPr>
        <w:fldChar w:fldCharType="separate"/>
      </w:r>
      <w:r>
        <w:rPr>
          <w:rFonts w:hint="eastAsia" w:ascii="宋体" w:hAnsi="宋体" w:eastAsia="宋体" w:cs="宋体"/>
          <w:b w:val="0"/>
          <w:bCs w:val="0"/>
          <w:i w:val="0"/>
          <w:iCs w:val="0"/>
          <w:color w:val="000000"/>
          <w:sz w:val="28"/>
          <w:szCs w:val="28"/>
          <w:highlight w:val="none"/>
        </w:rPr>
        <w:t xml:space="preserve">20</w:t>
      </w:r>
      <w:r>
        <w:rPr>
          <w:rFonts w:hint="eastAsia" w:ascii="宋体" w:hAnsi="宋体" w:eastAsia="宋体" w:cs="宋体"/>
          <w:b w:val="0"/>
          <w:bCs w:val="0"/>
          <w:i w:val="0"/>
          <w:iCs w:val="0"/>
          <w:color w:val="000000"/>
          <w:sz w:val="28"/>
          <w:szCs w:val="28"/>
          <w:highlight w:val="none"/>
        </w:rPr>
        <w:fldChar w:fldCharType="end"/>
      </w:r>
      <w:r>
        <w:rPr>
          <w:rFonts w:hint="eastAsia" w:ascii="宋体" w:hAnsi="宋体" w:eastAsia="宋体" w:cs="宋体"/>
          <w:b w:val="0"/>
          <w:bCs w:val="0"/>
          <w:i w:val="0"/>
          <w:iCs w:val="0"/>
          <w:color w:val="000000"/>
          <w:sz w:val="28"/>
          <w:szCs w:val="32"/>
          <w:highlight w:val="none"/>
        </w:rPr>
        <w:fldChar w:fldCharType="end"/>
      </w:r>
      <w:r>
        <w:rPr>
          <w:rFonts w:hint="eastAsia" w:ascii="宋体" w:hAnsi="宋体" w:eastAsia="宋体" w:cs="宋体"/>
          <w:b w:val="0"/>
          <w:bCs w:val="0"/>
          <w:i w:val="0"/>
          <w:iCs w:val="0"/>
          <w:color w:val="000000"/>
          <w:sz w:val="28"/>
          <w:szCs w:val="28"/>
          <w:highlight w:val="none"/>
        </w:rPr>
      </w:r>
      <w:r/>
    </w:p>
    <w:p>
      <w:pPr>
        <w:pStyle w:val="858"/>
        <w:tabs>
          <w:tab w:val="right" w:pos="963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color w:val="000000"/>
          <w:sz w:val="28"/>
          <w:szCs w:val="32"/>
          <w:highlight w:val="none"/>
        </w:rPr>
        <w:instrText xml:space="preserve"> HYPERLINK \l _Toc4556 </w:instrText>
      </w:r>
      <w:r>
        <w:rPr>
          <w:rFonts w:hint="eastAsia" w:ascii="宋体" w:hAnsi="宋体" w:eastAsia="宋体" w:cs="宋体"/>
          <w:b w:val="0"/>
          <w:bCs w:val="0"/>
          <w:i w:val="0"/>
          <w:iCs w:val="0"/>
          <w:color w:val="000000"/>
          <w:sz w:val="28"/>
          <w:szCs w:val="32"/>
          <w:highlight w:val="none"/>
        </w:rPr>
        <w:fldChar w:fldCharType="separate"/>
      </w:r>
      <w:r>
        <w:rPr>
          <w:rFonts w:hint="eastAsia" w:ascii="宋体" w:hAnsi="宋体" w:eastAsia="宋体" w:cs="宋体"/>
          <w:b w:val="0"/>
          <w:bCs w:val="0"/>
          <w:i w:val="0"/>
          <w:iCs w:val="0"/>
          <w:color w:val="000000"/>
          <w:sz w:val="28"/>
          <w:szCs w:val="21"/>
          <w:highlight w:val="none"/>
        </w:rPr>
        <w:t xml:space="preserve">第四章  投标文件格式</w:t>
      </w:r>
      <w:r>
        <w:rPr>
          <w:rFonts w:hint="eastAsia" w:ascii="宋体" w:hAnsi="宋体" w:eastAsia="宋体" w:cs="宋体"/>
          <w:b w:val="0"/>
          <w:bCs w:val="0"/>
          <w:i w:val="0"/>
          <w:iCs w:val="0"/>
          <w:color w:val="000000"/>
          <w:sz w:val="28"/>
          <w:szCs w:val="28"/>
          <w:highlight w:val="none"/>
        </w:rPr>
        <w:tab/>
      </w:r>
      <w:r>
        <w:rPr>
          <w:rFonts w:hint="eastAsia" w:ascii="宋体" w:hAnsi="宋体" w:eastAsia="宋体" w:cs="宋体"/>
          <w:b w:val="0"/>
          <w:bCs w:val="0"/>
          <w:i w:val="0"/>
          <w:iCs w:val="0"/>
          <w:color w:val="000000"/>
          <w:sz w:val="28"/>
          <w:szCs w:val="28"/>
          <w:highlight w:val="none"/>
        </w:rPr>
        <w:fldChar w:fldCharType="begin"/>
      </w:r>
      <w:r>
        <w:rPr>
          <w:rFonts w:hint="eastAsia" w:ascii="宋体" w:hAnsi="宋体" w:eastAsia="宋体" w:cs="宋体"/>
          <w:b w:val="0"/>
          <w:bCs w:val="0"/>
          <w:i w:val="0"/>
          <w:iCs w:val="0"/>
          <w:color w:val="000000"/>
          <w:sz w:val="28"/>
          <w:szCs w:val="28"/>
          <w:highlight w:val="none"/>
        </w:rPr>
        <w:instrText xml:space="preserve"> PAGEREF _Toc4556 \h </w:instrText>
      </w:r>
      <w:r>
        <w:rPr>
          <w:rFonts w:hint="eastAsia" w:ascii="宋体" w:hAnsi="宋体" w:eastAsia="宋体" w:cs="宋体"/>
          <w:b w:val="0"/>
          <w:bCs w:val="0"/>
          <w:i w:val="0"/>
          <w:iCs w:val="0"/>
          <w:color w:val="000000"/>
          <w:sz w:val="28"/>
          <w:szCs w:val="28"/>
          <w:highlight w:val="none"/>
        </w:rPr>
        <w:fldChar w:fldCharType="separate"/>
      </w:r>
      <w:r>
        <w:rPr>
          <w:rFonts w:hint="eastAsia" w:ascii="宋体" w:hAnsi="宋体" w:eastAsia="宋体" w:cs="宋体"/>
          <w:b w:val="0"/>
          <w:bCs w:val="0"/>
          <w:i w:val="0"/>
          <w:iCs w:val="0"/>
          <w:color w:val="000000"/>
          <w:sz w:val="28"/>
          <w:szCs w:val="28"/>
          <w:highlight w:val="none"/>
        </w:rPr>
        <w:t xml:space="preserve">26</w:t>
      </w:r>
      <w:r>
        <w:rPr>
          <w:rFonts w:hint="eastAsia" w:ascii="宋体" w:hAnsi="宋体" w:eastAsia="宋体" w:cs="宋体"/>
          <w:b w:val="0"/>
          <w:bCs w:val="0"/>
          <w:i w:val="0"/>
          <w:iCs w:val="0"/>
          <w:color w:val="000000"/>
          <w:sz w:val="28"/>
          <w:szCs w:val="28"/>
          <w:highlight w:val="none"/>
        </w:rPr>
        <w:fldChar w:fldCharType="end"/>
      </w:r>
      <w:r>
        <w:rPr>
          <w:rFonts w:hint="eastAsia" w:ascii="宋体" w:hAnsi="宋体" w:eastAsia="宋体" w:cs="宋体"/>
          <w:b w:val="0"/>
          <w:bCs w:val="0"/>
          <w:i w:val="0"/>
          <w:iCs w:val="0"/>
          <w:color w:val="000000"/>
          <w:sz w:val="28"/>
          <w:szCs w:val="32"/>
          <w:highlight w:val="none"/>
        </w:rPr>
        <w:fldChar w:fldCharType="end"/>
      </w:r>
      <w:r>
        <w:rPr>
          <w:rFonts w:hint="eastAsia" w:ascii="宋体" w:hAnsi="宋体" w:eastAsia="宋体" w:cs="宋体"/>
          <w:b w:val="0"/>
          <w:bCs w:val="0"/>
          <w:i w:val="0"/>
          <w:iCs w:val="0"/>
          <w:color w:val="000000"/>
          <w:sz w:val="28"/>
          <w:szCs w:val="28"/>
          <w:highlight w:val="none"/>
        </w:rPr>
      </w:r>
      <w:r/>
    </w:p>
    <w:p>
      <w:pPr>
        <w:pStyle w:val="858"/>
        <w:tabs>
          <w:tab w:val="right" w:pos="963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color w:val="000000"/>
          <w:sz w:val="28"/>
          <w:szCs w:val="32"/>
          <w:highlight w:val="none"/>
        </w:rPr>
        <w:instrText xml:space="preserve"> HYPERLINK \l _Toc249 </w:instrText>
      </w:r>
      <w:r>
        <w:rPr>
          <w:rFonts w:hint="eastAsia" w:ascii="宋体" w:hAnsi="宋体" w:eastAsia="宋体" w:cs="宋体"/>
          <w:b w:val="0"/>
          <w:bCs w:val="0"/>
          <w:i w:val="0"/>
          <w:iCs w:val="0"/>
          <w:color w:val="000000"/>
          <w:sz w:val="28"/>
          <w:szCs w:val="32"/>
          <w:highlight w:val="none"/>
        </w:rPr>
        <w:fldChar w:fldCharType="separate"/>
      </w:r>
      <w:r>
        <w:rPr>
          <w:rFonts w:hint="eastAsia" w:ascii="宋体" w:hAnsi="宋体" w:eastAsia="宋体" w:cs="宋体"/>
          <w:b w:val="0"/>
          <w:bCs w:val="0"/>
          <w:i w:val="0"/>
          <w:iCs w:val="0"/>
          <w:color w:val="000000"/>
          <w:sz w:val="28"/>
          <w:szCs w:val="21"/>
          <w:highlight w:val="none"/>
        </w:rPr>
        <w:t xml:space="preserve">第五章  合同专用条款表</w:t>
      </w:r>
      <w:r>
        <w:rPr>
          <w:rFonts w:hint="eastAsia" w:ascii="宋体" w:hAnsi="宋体" w:eastAsia="宋体" w:cs="宋体"/>
          <w:b w:val="0"/>
          <w:bCs w:val="0"/>
          <w:i w:val="0"/>
          <w:iCs w:val="0"/>
          <w:color w:val="000000"/>
          <w:sz w:val="28"/>
          <w:szCs w:val="28"/>
          <w:highlight w:val="none"/>
        </w:rPr>
        <w:tab/>
      </w:r>
      <w:r>
        <w:rPr>
          <w:rFonts w:hint="eastAsia" w:ascii="宋体" w:hAnsi="宋体" w:eastAsia="宋体" w:cs="宋体"/>
          <w:b w:val="0"/>
          <w:bCs w:val="0"/>
          <w:i w:val="0"/>
          <w:iCs w:val="0"/>
          <w:color w:val="000000"/>
          <w:sz w:val="28"/>
          <w:szCs w:val="28"/>
          <w:highlight w:val="none"/>
        </w:rPr>
        <w:fldChar w:fldCharType="begin"/>
      </w:r>
      <w:r>
        <w:rPr>
          <w:rFonts w:hint="eastAsia" w:ascii="宋体" w:hAnsi="宋体" w:eastAsia="宋体" w:cs="宋体"/>
          <w:b w:val="0"/>
          <w:bCs w:val="0"/>
          <w:i w:val="0"/>
          <w:iCs w:val="0"/>
          <w:color w:val="000000"/>
          <w:sz w:val="28"/>
          <w:szCs w:val="28"/>
          <w:highlight w:val="none"/>
        </w:rPr>
        <w:instrText xml:space="preserve"> PAGEREF _Toc249 \h </w:instrText>
      </w:r>
      <w:r>
        <w:rPr>
          <w:rFonts w:hint="eastAsia" w:ascii="宋体" w:hAnsi="宋体" w:eastAsia="宋体" w:cs="宋体"/>
          <w:b w:val="0"/>
          <w:bCs w:val="0"/>
          <w:i w:val="0"/>
          <w:iCs w:val="0"/>
          <w:color w:val="000000"/>
          <w:sz w:val="28"/>
          <w:szCs w:val="28"/>
          <w:highlight w:val="none"/>
        </w:rPr>
        <w:fldChar w:fldCharType="separate"/>
      </w:r>
      <w:r>
        <w:rPr>
          <w:rFonts w:hint="eastAsia" w:ascii="宋体" w:hAnsi="宋体" w:eastAsia="宋体" w:cs="宋体"/>
          <w:b w:val="0"/>
          <w:bCs w:val="0"/>
          <w:i w:val="0"/>
          <w:iCs w:val="0"/>
          <w:color w:val="000000"/>
          <w:sz w:val="28"/>
          <w:szCs w:val="28"/>
          <w:highlight w:val="none"/>
        </w:rPr>
        <w:t xml:space="preserve">44</w:t>
      </w:r>
      <w:r>
        <w:rPr>
          <w:rFonts w:hint="eastAsia" w:ascii="宋体" w:hAnsi="宋体" w:eastAsia="宋体" w:cs="宋体"/>
          <w:b w:val="0"/>
          <w:bCs w:val="0"/>
          <w:i w:val="0"/>
          <w:iCs w:val="0"/>
          <w:color w:val="000000"/>
          <w:sz w:val="28"/>
          <w:szCs w:val="28"/>
          <w:highlight w:val="none"/>
        </w:rPr>
        <w:fldChar w:fldCharType="end"/>
      </w:r>
      <w:r>
        <w:rPr>
          <w:rFonts w:hint="eastAsia" w:ascii="宋体" w:hAnsi="宋体" w:eastAsia="宋体" w:cs="宋体"/>
          <w:b w:val="0"/>
          <w:bCs w:val="0"/>
          <w:i w:val="0"/>
          <w:iCs w:val="0"/>
          <w:color w:val="000000"/>
          <w:sz w:val="28"/>
          <w:szCs w:val="32"/>
          <w:highlight w:val="none"/>
        </w:rPr>
        <w:fldChar w:fldCharType="end"/>
      </w:r>
      <w:r>
        <w:rPr>
          <w:rFonts w:hint="eastAsia" w:ascii="宋体" w:hAnsi="宋体" w:eastAsia="宋体" w:cs="宋体"/>
          <w:b w:val="0"/>
          <w:bCs w:val="0"/>
          <w:i w:val="0"/>
          <w:iCs w:val="0"/>
          <w:color w:val="000000"/>
          <w:sz w:val="28"/>
          <w:szCs w:val="28"/>
          <w:highlight w:val="none"/>
        </w:rPr>
      </w:r>
      <w:r/>
    </w:p>
    <w:p>
      <w:pPr>
        <w:pStyle w:val="858"/>
        <w:tabs>
          <w:tab w:val="right" w:pos="963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color w:val="000000"/>
          <w:sz w:val="28"/>
          <w:szCs w:val="32"/>
          <w:highlight w:val="none"/>
        </w:rPr>
        <w:instrText xml:space="preserve"> HYPERLINK \l _Toc30149 </w:instrText>
      </w:r>
      <w:r>
        <w:rPr>
          <w:rFonts w:hint="eastAsia" w:ascii="宋体" w:hAnsi="宋体" w:eastAsia="宋体" w:cs="宋体"/>
          <w:b w:val="0"/>
          <w:bCs w:val="0"/>
          <w:i w:val="0"/>
          <w:iCs w:val="0"/>
          <w:color w:val="000000"/>
          <w:sz w:val="28"/>
          <w:szCs w:val="32"/>
          <w:highlight w:val="none"/>
        </w:rPr>
        <w:fldChar w:fldCharType="separate"/>
      </w:r>
      <w:r>
        <w:rPr>
          <w:rFonts w:hint="eastAsia" w:ascii="宋体" w:hAnsi="宋体" w:eastAsia="宋体" w:cs="宋体"/>
          <w:b w:val="0"/>
          <w:bCs w:val="0"/>
          <w:i w:val="0"/>
          <w:iCs w:val="0"/>
          <w:color w:val="000000"/>
          <w:sz w:val="28"/>
          <w:szCs w:val="21"/>
          <w:highlight w:val="none"/>
        </w:rPr>
        <w:t xml:space="preserve">第六章  项目需求</w:t>
      </w:r>
      <w:r>
        <w:rPr>
          <w:rFonts w:hint="eastAsia" w:ascii="宋体" w:hAnsi="宋体" w:eastAsia="宋体" w:cs="宋体"/>
          <w:b w:val="0"/>
          <w:bCs w:val="0"/>
          <w:i w:val="0"/>
          <w:iCs w:val="0"/>
          <w:color w:val="000000"/>
          <w:sz w:val="28"/>
          <w:szCs w:val="28"/>
          <w:highlight w:val="none"/>
        </w:rPr>
        <w:tab/>
      </w:r>
      <w:r>
        <w:rPr>
          <w:rFonts w:hint="eastAsia" w:ascii="宋体" w:hAnsi="宋体" w:eastAsia="宋体" w:cs="宋体"/>
          <w:b w:val="0"/>
          <w:bCs w:val="0"/>
          <w:i w:val="0"/>
          <w:iCs w:val="0"/>
          <w:color w:val="000000"/>
          <w:sz w:val="28"/>
          <w:szCs w:val="28"/>
          <w:highlight w:val="none"/>
        </w:rPr>
        <w:fldChar w:fldCharType="begin"/>
      </w:r>
      <w:r>
        <w:rPr>
          <w:rFonts w:hint="eastAsia" w:ascii="宋体" w:hAnsi="宋体" w:eastAsia="宋体" w:cs="宋体"/>
          <w:b w:val="0"/>
          <w:bCs w:val="0"/>
          <w:i w:val="0"/>
          <w:iCs w:val="0"/>
          <w:color w:val="000000"/>
          <w:sz w:val="28"/>
          <w:szCs w:val="28"/>
          <w:highlight w:val="none"/>
        </w:rPr>
        <w:instrText xml:space="preserve"> PAGEREF _Toc30149 \h </w:instrText>
      </w:r>
      <w:r>
        <w:rPr>
          <w:rFonts w:hint="eastAsia" w:ascii="宋体" w:hAnsi="宋体" w:eastAsia="宋体" w:cs="宋体"/>
          <w:b w:val="0"/>
          <w:bCs w:val="0"/>
          <w:i w:val="0"/>
          <w:iCs w:val="0"/>
          <w:color w:val="000000"/>
          <w:sz w:val="28"/>
          <w:szCs w:val="28"/>
          <w:highlight w:val="none"/>
        </w:rPr>
        <w:fldChar w:fldCharType="separate"/>
      </w:r>
      <w:r>
        <w:rPr>
          <w:rFonts w:hint="eastAsia" w:ascii="宋体" w:hAnsi="宋体" w:eastAsia="宋体" w:cs="宋体"/>
          <w:b w:val="0"/>
          <w:bCs w:val="0"/>
          <w:i w:val="0"/>
          <w:iCs w:val="0"/>
          <w:color w:val="000000"/>
          <w:sz w:val="28"/>
          <w:szCs w:val="28"/>
          <w:highlight w:val="none"/>
        </w:rPr>
        <w:t xml:space="preserve">45</w:t>
      </w:r>
      <w:r>
        <w:rPr>
          <w:rFonts w:hint="eastAsia" w:ascii="宋体" w:hAnsi="宋体" w:eastAsia="宋体" w:cs="宋体"/>
          <w:b w:val="0"/>
          <w:bCs w:val="0"/>
          <w:i w:val="0"/>
          <w:iCs w:val="0"/>
          <w:color w:val="000000"/>
          <w:sz w:val="28"/>
          <w:szCs w:val="28"/>
          <w:highlight w:val="none"/>
        </w:rPr>
        <w:fldChar w:fldCharType="end"/>
      </w:r>
      <w:r>
        <w:rPr>
          <w:rFonts w:hint="eastAsia" w:ascii="宋体" w:hAnsi="宋体" w:eastAsia="宋体" w:cs="宋体"/>
          <w:b w:val="0"/>
          <w:bCs w:val="0"/>
          <w:i w:val="0"/>
          <w:iCs w:val="0"/>
          <w:color w:val="000000"/>
          <w:sz w:val="28"/>
          <w:szCs w:val="32"/>
          <w:highlight w:val="none"/>
        </w:rPr>
        <w:fldChar w:fldCharType="end"/>
      </w:r>
      <w:r>
        <w:rPr>
          <w:rFonts w:hint="eastAsia" w:ascii="宋体" w:hAnsi="宋体" w:eastAsia="宋体" w:cs="宋体"/>
          <w:b w:val="0"/>
          <w:bCs w:val="0"/>
          <w:i w:val="0"/>
          <w:iCs w:val="0"/>
          <w:color w:val="000000"/>
          <w:sz w:val="28"/>
          <w:szCs w:val="28"/>
          <w:highlight w:val="none"/>
        </w:rPr>
      </w:r>
      <w:r/>
    </w:p>
    <w:p>
      <w:pPr>
        <w:pStyle w:val="858"/>
        <w:tabs>
          <w:tab w:val="right" w:pos="9638" w:leader="dot"/>
        </w:tabs>
        <w:rPr>
          <w:rFonts w:hint="eastAsia" w:ascii="宋体" w:hAnsi="宋体" w:eastAsia="宋体" w:cs="宋体"/>
          <w:b w:val="0"/>
          <w:bCs w:val="0"/>
          <w:i w:val="0"/>
          <w:iCs w:val="0"/>
          <w:color w:val="000000"/>
          <w:sz w:val="28"/>
          <w:szCs w:val="28"/>
          <w:highlight w:val="none"/>
          <w:lang w:val="en-US"/>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color w:val="000000"/>
          <w:sz w:val="28"/>
          <w:szCs w:val="32"/>
          <w:highlight w:val="none"/>
        </w:rPr>
        <w:instrText xml:space="preserve"> HYPERLINK \l _Toc18326 </w:instrText>
      </w:r>
      <w:r>
        <w:rPr>
          <w:rFonts w:hint="eastAsia" w:ascii="宋体" w:hAnsi="宋体" w:eastAsia="宋体" w:cs="宋体"/>
          <w:b w:val="0"/>
          <w:bCs w:val="0"/>
          <w:i w:val="0"/>
          <w:iCs w:val="0"/>
          <w:color w:val="000000"/>
          <w:sz w:val="28"/>
          <w:szCs w:val="32"/>
          <w:highlight w:val="none"/>
        </w:rPr>
        <w:fldChar w:fldCharType="separate"/>
      </w:r>
      <w:r>
        <w:rPr>
          <w:rFonts w:hint="eastAsia" w:ascii="宋体" w:hAnsi="宋体" w:eastAsia="宋体" w:cs="宋体"/>
          <w:b w:val="0"/>
          <w:bCs w:val="0"/>
          <w:i w:val="0"/>
          <w:iCs w:val="0"/>
          <w:color w:val="000000"/>
          <w:sz w:val="28"/>
          <w:szCs w:val="21"/>
          <w:highlight w:val="none"/>
        </w:rPr>
        <w:t xml:space="preserve">第七章 评标办法</w:t>
      </w:r>
      <w:r>
        <w:rPr>
          <w:rFonts w:hint="eastAsia" w:ascii="宋体" w:hAnsi="宋体" w:eastAsia="宋体" w:cs="宋体"/>
          <w:b w:val="0"/>
          <w:bCs w:val="0"/>
          <w:i w:val="0"/>
          <w:iCs w:val="0"/>
          <w:color w:val="000000"/>
          <w:sz w:val="28"/>
          <w:szCs w:val="28"/>
          <w:highlight w:val="none"/>
        </w:rPr>
        <w:tab/>
      </w:r>
      <w:r>
        <w:rPr>
          <w:rFonts w:hint="eastAsia" w:ascii="宋体" w:hAnsi="宋体" w:eastAsia="宋体" w:cs="宋体"/>
          <w:b w:val="0"/>
          <w:bCs w:val="0"/>
          <w:i w:val="0"/>
          <w:iCs w:val="0"/>
          <w:color w:val="000000"/>
          <w:sz w:val="28"/>
          <w:szCs w:val="28"/>
          <w:highlight w:val="none"/>
          <w:lang w:val="en-US"/>
        </w:rPr>
        <w:t xml:space="preserve">5</w:t>
      </w:r>
      <w:r>
        <w:rPr>
          <w:rFonts w:hint="eastAsia" w:ascii="宋体" w:hAnsi="宋体" w:eastAsia="宋体" w:cs="宋体"/>
          <w:b w:val="0"/>
          <w:bCs w:val="0"/>
          <w:i w:val="0"/>
          <w:iCs w:val="0"/>
          <w:color w:val="000000"/>
          <w:sz w:val="28"/>
          <w:szCs w:val="32"/>
          <w:highlight w:val="none"/>
        </w:rPr>
        <w:fldChar w:fldCharType="end"/>
      </w:r>
      <w:r>
        <w:rPr>
          <w:rFonts w:hint="eastAsia" w:ascii="宋体" w:hAnsi="宋体" w:eastAsia="宋体" w:cs="宋体"/>
          <w:b w:val="0"/>
          <w:bCs w:val="0"/>
          <w:i w:val="0"/>
          <w:iCs w:val="0"/>
          <w:color w:val="000000"/>
          <w:sz w:val="28"/>
          <w:szCs w:val="32"/>
          <w:highlight w:val="none"/>
          <w:lang w:val="en-US"/>
        </w:rPr>
        <w:t xml:space="preserve">5</w:t>
      </w:r>
      <w:r>
        <w:rPr>
          <w:rFonts w:hint="eastAsia" w:ascii="宋体" w:hAnsi="宋体" w:eastAsia="宋体" w:cs="宋体"/>
          <w:b w:val="0"/>
          <w:bCs w:val="0"/>
          <w:i w:val="0"/>
          <w:iCs w:val="0"/>
          <w:color w:val="000000"/>
          <w:sz w:val="28"/>
          <w:szCs w:val="28"/>
          <w:highlight w:val="none"/>
          <w:lang w:val="en-US"/>
        </w:rPr>
      </w:r>
      <w:r/>
    </w:p>
    <w:p>
      <w:pPr>
        <w:pStyle w:val="813"/>
        <w:spacing w:line="360" w:lineRule="auto"/>
        <w:tabs>
          <w:tab w:val="right" w:pos="9638" w:leader="dot"/>
        </w:tabs>
        <w:rPr>
          <w:rFonts w:hint="eastAsia" w:ascii="宋体" w:hAnsi="宋体" w:eastAsia="宋体" w:cs="宋体"/>
          <w:color w:val="000000"/>
          <w:sz w:val="44"/>
          <w:szCs w:val="20"/>
          <w:highlight w:val="none"/>
        </w:rPr>
      </w:pPr>
      <w:r>
        <w:rPr>
          <w:rFonts w:hint="eastAsia" w:ascii="宋体" w:hAnsi="宋体" w:eastAsia="宋体" w:cs="宋体"/>
          <w:color w:val="000000"/>
          <w:szCs w:val="28"/>
          <w:highlight w:val="none"/>
        </w:rPr>
        <w:fldChar w:fldCharType="end"/>
      </w:r>
      <w:r>
        <w:rPr>
          <w:rFonts w:hint="eastAsia" w:ascii="宋体" w:hAnsi="宋体" w:eastAsia="宋体" w:cs="宋体"/>
          <w:color w:val="000000"/>
          <w:sz w:val="44"/>
          <w:szCs w:val="20"/>
          <w:highlight w:val="none"/>
        </w:rPr>
      </w:r>
      <w:r/>
    </w:p>
    <w:p>
      <w:pPr>
        <w:pStyle w:val="813"/>
        <w:jc w:val="center"/>
        <w:keepLines/>
        <w:keepNext/>
        <w:spacing w:line="360" w:lineRule="auto"/>
        <w:rPr>
          <w:rFonts w:hint="eastAsia" w:ascii="宋体" w:hAnsi="宋体" w:eastAsia="宋体" w:cs="宋体"/>
          <w:color w:val="000000"/>
          <w:sz w:val="36"/>
          <w:szCs w:val="20"/>
          <w:highlight w:val="none"/>
        </w:rPr>
        <w:outlineLvl w:val="0"/>
      </w:pPr>
      <w:r/>
      <w:bookmarkStart w:id="3" w:name="_Toc513622226"/>
      <w:r/>
      <w:bookmarkStart w:id="4" w:name="_Toc139966426"/>
      <w:r/>
      <w:bookmarkStart w:id="5" w:name="_Toc139967210"/>
      <w:r>
        <w:rPr>
          <w:rFonts w:hint="eastAsia" w:ascii="宋体" w:hAnsi="宋体" w:eastAsia="宋体" w:cs="宋体"/>
          <w:color w:val="000000"/>
          <w:sz w:val="36"/>
          <w:szCs w:val="2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jc w:val="left"/>
        <w:tabs>
          <w:tab w:val="left" w:pos="3943" w:leader="none"/>
        </w:tabs>
        <w:rPr>
          <w:rFonts w:hint="eastAsia" w:ascii="宋体" w:hAnsi="宋体" w:eastAsia="宋体" w:cs="宋体"/>
          <w:color w:val="000000"/>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lnNumType w:countBy="0" w:restart="continuous" w:start="1"/>
          <w:pgNumType w:start="1"/>
          <w:cols w:num="1" w:sep="0" w:space="1701" w:equalWidth="1"/>
          <w:docGrid w:linePitch="360"/>
          <w:titlePg/>
        </w:sectPr>
      </w:pPr>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813"/>
        <w:jc w:val="center"/>
        <w:keepLines/>
        <w:keepNext/>
        <w:spacing w:line="360" w:lineRule="auto"/>
        <w:rPr>
          <w:rFonts w:hint="eastAsia" w:ascii="宋体" w:hAnsi="宋体" w:eastAsia="宋体" w:cs="宋体"/>
          <w:color w:val="000000"/>
          <w:sz w:val="36"/>
          <w:szCs w:val="20"/>
          <w:highlight w:val="none"/>
        </w:rPr>
        <w:outlineLvl w:val="0"/>
      </w:pPr>
      <w:r/>
      <w:bookmarkStart w:id="6" w:name="_Toc21025"/>
      <w:r>
        <w:rPr>
          <w:rFonts w:hint="eastAsia" w:ascii="宋体" w:hAnsi="宋体" w:eastAsia="宋体" w:cs="宋体"/>
          <w:color w:val="000000"/>
          <w:sz w:val="36"/>
          <w:szCs w:val="20"/>
          <w:highlight w:val="none"/>
        </w:rPr>
        <w:t xml:space="preserve">第一章 投标邀请</w:t>
      </w:r>
      <w:bookmarkEnd w:id="3"/>
      <w:r/>
      <w:bookmarkEnd w:id="6"/>
      <w:r>
        <w:rPr>
          <w:rFonts w:hint="eastAsia" w:ascii="宋体" w:hAnsi="宋体" w:eastAsia="宋体" w:cs="宋体"/>
          <w:color w:val="000000"/>
          <w:sz w:val="36"/>
          <w:szCs w:val="20"/>
          <w:highlight w:val="none"/>
        </w:rPr>
      </w:r>
      <w:r/>
    </w:p>
    <w:tbl>
      <w:tblPr>
        <w:tblW w:w="98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813"/>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813"/>
              <w:ind w:firstLine="480"/>
              <w:keepLines w:val="0"/>
              <w:pageBreakBefore w:val="0"/>
              <w:spacing w:line="48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u w:val="single"/>
                <w:lang w:eastAsia="zh-CN"/>
              </w:rPr>
              <w:t xml:space="preserve">环管处渗滤液第三方运行（专门面向中小企业）（</w:t>
            </w:r>
            <w:r>
              <w:rPr>
                <w:rFonts w:hint="eastAsia" w:ascii="宋体" w:hAnsi="宋体" w:eastAsia="宋体" w:cs="宋体"/>
                <w:color w:val="000000"/>
                <w:sz w:val="24"/>
                <w:szCs w:val="24"/>
                <w:highlight w:val="none"/>
                <w:u w:val="single"/>
                <w:lang w:val="en-US" w:eastAsia="zh-CN"/>
              </w:rPr>
              <w:t xml:space="preserve">二次</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招标项目的潜在投标人应在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color w:val="000000"/>
                <w:sz w:val="24"/>
                <w:szCs w:val="24"/>
                <w:highlight w:val="none"/>
                <w:u w:val="single"/>
                <w:lang w:val="en-US" w:eastAsia="zh-CN"/>
              </w:rPr>
              <w:t xml:space="preserve"> 2026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 05 </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none"/>
                <w:u w:val="single"/>
                <w:lang w:val="en-US" w:eastAsia="zh-CN"/>
              </w:rPr>
              <w:t xml:space="preserve"> 29 </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时00分00秒</w:t>
            </w:r>
            <w:r>
              <w:rPr>
                <w:rFonts w:hint="eastAsia" w:ascii="宋体" w:hAnsi="宋体" w:eastAsia="宋体" w:cs="宋体"/>
                <w:color w:val="000000"/>
                <w:sz w:val="24"/>
                <w:szCs w:val="24"/>
                <w:highlight w:val="none"/>
              </w:rPr>
              <w:t xml:space="preserve">（北京时间）前</w:t>
            </w:r>
            <w:r>
              <w:rPr>
                <w:rFonts w:hint="eastAsia" w:ascii="宋体" w:hAnsi="宋体" w:eastAsia="宋体" w:cs="宋体"/>
                <w:b/>
                <w:color w:val="000000"/>
                <w:sz w:val="24"/>
                <w:szCs w:val="24"/>
                <w:highlight w:val="none"/>
              </w:rPr>
              <w:t xml:space="preserve">上传电子投标文件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Cs w:val="24"/>
                <w:highlight w:val="none"/>
              </w:rPr>
            </w:r>
            <w:r/>
          </w:p>
        </w:tc>
      </w:tr>
    </w:tbl>
    <w:p>
      <w:pPr>
        <w:pStyle w:val="813"/>
        <w:keepLines w:val="0"/>
        <w:keepNext/>
        <w:pageBreakBefore w:val="0"/>
        <w:spacing w:line="480" w:lineRule="exact"/>
        <w:widowControl w:val="off"/>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一、项目基本情况</w:t>
      </w:r>
      <w:r>
        <w:rPr>
          <w:rFonts w:hint="eastAsia" w:ascii="宋体" w:hAnsi="宋体" w:eastAsia="宋体" w:cs="宋体"/>
          <w:b/>
          <w:color w:val="000000"/>
          <w:sz w:val="28"/>
          <w:szCs w:val="20"/>
          <w:highlight w:val="none"/>
        </w:rPr>
      </w:r>
      <w:r/>
    </w:p>
    <w:p>
      <w:pPr>
        <w:pStyle w:val="813"/>
        <w:ind w:firstLine="480"/>
        <w:keepLines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标段编号：JSZC-320700-HRGJ-G2026-0010</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813"/>
        <w:ind w:firstLine="480"/>
        <w:keepLines w:val="0"/>
        <w:pageBreakBefore w:val="0"/>
        <w:spacing w:line="480" w:lineRule="exact"/>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color w:val="000000"/>
          <w:sz w:val="24"/>
          <w:szCs w:val="24"/>
          <w:highlight w:val="none"/>
          <w:lang w:eastAsia="zh-CN"/>
        </w:rPr>
        <w:t xml:space="preserve">环管处渗滤液第三方运行（</w:t>
      </w:r>
      <w:r>
        <w:rPr>
          <w:rFonts w:hint="eastAsia" w:ascii="宋体" w:hAnsi="宋体" w:eastAsia="宋体" w:cs="宋体"/>
          <w:color w:val="000000"/>
          <w:sz w:val="24"/>
          <w:szCs w:val="24"/>
          <w:highlight w:val="none"/>
          <w:lang w:val="en-US" w:eastAsia="zh-CN"/>
        </w:rPr>
        <w:t xml:space="preserve">专门面向中小企业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rPr>
      </w:r>
      <w:r/>
    </w:p>
    <w:p>
      <w:pPr>
        <w:pStyle w:val="813"/>
        <w:ind w:firstLine="480"/>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u w:val="none"/>
          <w:lang w:val="en-US" w:eastAsia="zh-CN"/>
        </w:rPr>
        <w:t xml:space="preserve">1333</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13"/>
        <w:ind w:firstLine="480"/>
        <w:keepLines w:val="0"/>
        <w:pageBreakBefore w:val="0"/>
        <w:spacing w:line="48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最高限价：达标出水综合单价166.25元/吨，投标报价超过最高限价的视为无效标。</w:t>
      </w:r>
      <w:r>
        <w:rPr>
          <w:rFonts w:hint="eastAsia" w:ascii="宋体" w:hAnsi="宋体" w:eastAsia="宋体" w:cs="宋体"/>
          <w:color w:val="000000"/>
          <w:sz w:val="24"/>
          <w:highlight w:val="none"/>
        </w:rPr>
      </w:r>
      <w:r/>
    </w:p>
    <w:p>
      <w:pPr>
        <w:pStyle w:val="813"/>
        <w:ind w:firstLine="480"/>
        <w:keepLines w:val="0"/>
        <w:pageBreakBefore w:val="0"/>
        <w:spacing w:line="48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采购需求：为确保钓鱼山封场渗滤液达标处理，避免环境污染事件发生。根据《生活垃圾填埋场污染控制标准 》（GB 16889-2024）等相关文件要求，我单位拟采购连云港市环境卫生管理处2026-2027年度渗滤液处理站第三方运维，服务期限24个月，计划达标出水约8万吨。具体详细内容见本招标文件第</w:t>
      </w:r>
      <w:r>
        <w:rPr>
          <w:rFonts w:hint="eastAsia" w:ascii="宋体" w:hAnsi="宋体" w:eastAsia="宋体" w:cs="宋体"/>
          <w:color w:val="000000"/>
          <w:sz w:val="24"/>
          <w:highlight w:val="none"/>
          <w:lang w:val="en-US" w:eastAsia="zh-CN"/>
        </w:rPr>
        <w:t xml:space="preserve">六</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rPr>
      </w:r>
      <w:r/>
    </w:p>
    <w:p>
      <w:pPr>
        <w:pStyle w:val="813"/>
        <w:ind w:firstLine="480"/>
        <w:keepLines w:val="0"/>
        <w:pageBreakBefore w:val="0"/>
        <w:spacing w:line="480" w:lineRule="exact"/>
        <w:widowControl w:val="off"/>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对项目采购需求部分的询问、质疑请与采购人联系，由采购人负责答复。</w:t>
      </w:r>
      <w:r>
        <w:rPr>
          <w:rFonts w:hint="eastAsia" w:ascii="宋体" w:hAnsi="宋体" w:eastAsia="宋体" w:cs="宋体"/>
          <w:b/>
          <w:bCs/>
          <w:color w:val="000000"/>
          <w:sz w:val="24"/>
          <w:highlight w:val="none"/>
        </w:rPr>
      </w:r>
      <w:r/>
    </w:p>
    <w:p>
      <w:pPr>
        <w:pStyle w:val="813"/>
        <w:ind w:firstLine="480"/>
        <w:keepLines w:val="0"/>
        <w:pageBreakBefore w:val="0"/>
        <w:spacing w:line="480" w:lineRule="exact"/>
        <w:widowControl w:val="off"/>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服务期</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运营服务期限为自合同签订之日起至达标出水总量上限为止，总服务期限不超过2年。（非中标人原因不能正常运营的，运营期相应顺延）。</w:t>
      </w:r>
      <w:r>
        <w:rPr>
          <w:rFonts w:hint="eastAsia" w:ascii="宋体" w:hAnsi="宋体" w:eastAsia="宋体" w:cs="宋体"/>
          <w:color w:val="000000"/>
          <w:sz w:val="24"/>
          <w:highlight w:val="none"/>
          <w:lang w:val="en-US" w:eastAsia="zh-CN"/>
        </w:rPr>
      </w:r>
      <w:r/>
    </w:p>
    <w:p>
      <w:pPr>
        <w:pStyle w:val="813"/>
        <w:ind w:firstLine="480"/>
        <w:keepLines w:val="0"/>
        <w:pageBreakBefore w:val="0"/>
        <w:spacing w:line="48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本项目不接受联合体投标。</w:t>
      </w:r>
      <w:r>
        <w:rPr>
          <w:rFonts w:hint="eastAsia" w:ascii="宋体" w:hAnsi="宋体" w:eastAsia="宋体" w:cs="宋体"/>
          <w:color w:val="000000"/>
          <w:sz w:val="24"/>
          <w:highlight w:val="none"/>
        </w:rPr>
      </w:r>
      <w:r/>
    </w:p>
    <w:p>
      <w:pPr>
        <w:pStyle w:val="813"/>
        <w:keepLines w:val="0"/>
        <w:keepNext/>
        <w:pageBreakBefore w:val="0"/>
        <w:spacing w:line="480" w:lineRule="exact"/>
        <w:widowControl w:val="off"/>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二、申请人的资格要求</w:t>
      </w:r>
      <w:r>
        <w:rPr>
          <w:rFonts w:hint="eastAsia" w:ascii="宋体" w:hAnsi="宋体" w:eastAsia="宋体" w:cs="宋体"/>
          <w:b/>
          <w:color w:val="000000"/>
          <w:sz w:val="28"/>
          <w:szCs w:val="20"/>
          <w:highlight w:val="none"/>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color w:val="000000"/>
          <w:sz w:val="24"/>
          <w:szCs w:val="24"/>
          <w:highlight w:val="none"/>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rPr>
        <w:t xml:space="preserve">（2）上一年度的财务状况报告（成立不满一年不需提供）；按连财购〔2023〕4号文件要求，符合要求的提交《财务状况报告及税收、社会保障资金缴纳情况承诺函》，并上传至电子投标文件中，详见采购文件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highlight w:val="none"/>
          <w:lang w:eastAsia="zh-CN"/>
        </w:rPr>
      </w:r>
      <w:r/>
    </w:p>
    <w:p>
      <w:pPr>
        <w:pStyle w:val="813"/>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（3）依法缴纳税收和社会保障资金的相关材料；按连财购〔2023〕4号文件要求，符合要求的提交《财务状况报告及税收、社会保障资金缴纳情况承诺函》，并上传至电子投标文件中，详见采购文件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（4）具备履行合同所必需的设备和专业技术能力的声明及证明材料；</w:t>
      </w:r>
      <w:r>
        <w:rPr>
          <w:rFonts w:hint="eastAsia" w:ascii="宋体" w:hAnsi="宋体" w:eastAsia="宋体" w:cs="宋体"/>
          <w:color w:val="000000"/>
          <w:sz w:val="24"/>
          <w:szCs w:val="24"/>
          <w:highlight w:val="none"/>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（5）参加政府采购活动前三年内在经营活动中没有重大违法记录的书面声明。</w:t>
      </w:r>
      <w:r>
        <w:rPr>
          <w:rFonts w:hint="eastAsia" w:ascii="宋体" w:hAnsi="宋体" w:eastAsia="宋体" w:cs="宋体"/>
          <w:color w:val="000000"/>
          <w:sz w:val="24"/>
          <w:szCs w:val="24"/>
          <w:highlight w:val="none"/>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bCs/>
          <w:color w:val="000000"/>
          <w:sz w:val="24"/>
          <w:szCs w:val="24"/>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应提交《中小企业声明函》并上传至电子响应文件中，详见采购文件。</w:t>
      </w:r>
      <w:r>
        <w:rPr>
          <w:rFonts w:hint="eastAsia" w:ascii="宋体" w:hAnsi="宋体" w:eastAsia="宋体" w:cs="宋体"/>
          <w:color w:val="000000"/>
          <w:sz w:val="24"/>
          <w:szCs w:val="24"/>
          <w:highlight w:val="none"/>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4.本项目的其他资格要求：</w:t>
      </w:r>
      <w:r>
        <w:rPr>
          <w:rFonts w:hint="eastAsia" w:ascii="宋体" w:hAnsi="宋体" w:eastAsia="宋体" w:cs="宋体"/>
          <w:color w:val="000000"/>
          <w:sz w:val="24"/>
          <w:szCs w:val="24"/>
          <w:highlight w:val="none"/>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w:t>
      </w:r>
      <w:r>
        <w:rPr>
          <w:rFonts w:hint="eastAsia" w:ascii="宋体" w:hAnsi="宋体" w:eastAsia="宋体" w:cs="宋体"/>
          <w:color w:val="000000"/>
          <w:sz w:val="24"/>
          <w:highlight w:val="none"/>
        </w:rPr>
        <w:t xml:space="preserve">递交截止前被“信用中国”网站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www.creditchina.gov.cn)、 中国政府采购网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www.ccgp.gov.cn</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列入失信被执行人、重大税收违法案件当事人名单、政府采购严重违法失信行为记录名单的供应商，拒绝其参与政府采购活动；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备注：各</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通过信用中国、中国政府采购网，对信用记录情况进行查询，将查询结果页面截图放入电子投标文件中。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5.法律法规规定的其他条件。</w:t>
      </w:r>
      <w:r>
        <w:rPr>
          <w:rFonts w:hint="eastAsia" w:ascii="宋体" w:hAnsi="宋体" w:eastAsia="宋体" w:cs="宋体"/>
          <w:color w:val="000000"/>
          <w:sz w:val="24"/>
          <w:szCs w:val="24"/>
          <w:highlight w:val="none"/>
        </w:rPr>
      </w:r>
      <w:r/>
    </w:p>
    <w:p>
      <w:pPr>
        <w:pStyle w:val="813"/>
        <w:keepLines w:val="0"/>
        <w:keepNext/>
        <w:pageBreakBefore w:val="0"/>
        <w:spacing w:line="480" w:lineRule="exact"/>
        <w:widowControl w:val="off"/>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三、获取招标文件</w:t>
      </w:r>
      <w:r>
        <w:rPr>
          <w:rFonts w:hint="eastAsia" w:ascii="宋体" w:hAnsi="宋体" w:eastAsia="宋体" w:cs="宋体"/>
          <w:b/>
          <w:color w:val="000000"/>
          <w:sz w:val="28"/>
          <w:szCs w:val="20"/>
          <w:highlight w:val="none"/>
        </w:rPr>
      </w:r>
      <w:r/>
    </w:p>
    <w:p>
      <w:pPr>
        <w:pStyle w:val="813"/>
        <w:ind w:firstLine="480"/>
        <w:jc w:val="left"/>
        <w:keepLines w:val="0"/>
        <w:pageBreakBefore w:val="0"/>
        <w:spacing w:line="48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时间：自招标文件公告发布之日起</w:t>
      </w:r>
      <w:r>
        <w:rPr>
          <w:rFonts w:hint="eastAsia" w:ascii="宋体" w:hAnsi="宋体" w:eastAsia="宋体" w:cs="宋体"/>
          <w:color w:val="000000"/>
          <w:sz w:val="24"/>
          <w:highlight w:val="none"/>
          <w:lang w:val="en-US" w:eastAsia="zh-CN"/>
        </w:rPr>
        <w:t xml:space="preserve">5个工作日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13"/>
        <w:ind w:firstLine="480"/>
        <w:jc w:val="left"/>
        <w:keepLines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方式：在“江苏政府采购网”自行免费下载招标文件。</w:t>
      </w:r>
      <w:r>
        <w:rPr>
          <w:rFonts w:hint="eastAsia" w:ascii="宋体" w:hAnsi="宋体" w:eastAsia="宋体" w:cs="宋体"/>
          <w:color w:val="000000"/>
          <w:sz w:val="24"/>
          <w:highlight w:val="none"/>
        </w:rPr>
      </w:r>
      <w:r/>
    </w:p>
    <w:p>
      <w:pPr>
        <w:pStyle w:val="813"/>
        <w:keepLines w:val="0"/>
        <w:keepNext/>
        <w:pageBreakBefore w:val="0"/>
        <w:spacing w:line="480" w:lineRule="exact"/>
        <w:widowControl w:val="off"/>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四、提交投标文件截止时间、开标时间和地点</w:t>
      </w:r>
      <w:r>
        <w:rPr>
          <w:rFonts w:hint="eastAsia" w:ascii="宋体" w:hAnsi="宋体" w:eastAsia="宋体" w:cs="宋体"/>
          <w:b/>
          <w:color w:val="000000"/>
          <w:sz w:val="28"/>
          <w:szCs w:val="20"/>
          <w:highlight w:val="none"/>
        </w:rPr>
      </w:r>
      <w:r/>
    </w:p>
    <w:p>
      <w:pPr>
        <w:pStyle w:val="813"/>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1.投标文件接收截止时间：202</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lang w:val="en-US" w:eastAsia="zh-CN"/>
        </w:rPr>
        <w:t xml:space="preserve">05</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lang w:val="en-US" w:eastAsia="zh-CN"/>
        </w:rPr>
        <w:t xml:space="preserve">29</w:t>
      </w:r>
      <w:r>
        <w:rPr>
          <w:rFonts w:hint="eastAsia" w:ascii="宋体" w:hAnsi="宋体" w:eastAsia="宋体" w:cs="Times New Roman"/>
          <w:color w:val="000000"/>
          <w:sz w:val="24"/>
          <w:szCs w:val="24"/>
          <w:highlight w:val="none"/>
        </w:rPr>
        <w:t xml:space="preserve">日</w:t>
      </w:r>
      <w:r>
        <w:rPr>
          <w:rFonts w:hint="eastAsia" w:ascii="宋体" w:hAnsi="宋体" w:eastAsia="宋体" w:cs="Times New Roman"/>
          <w:color w:val="000000"/>
          <w:sz w:val="24"/>
          <w:szCs w:val="24"/>
          <w:highlight w:val="none"/>
          <w:lang w:val="en-US" w:eastAsia="zh-CN"/>
        </w:rPr>
        <w:t xml:space="preserve">上</w:t>
      </w:r>
      <w:r>
        <w:rPr>
          <w:rFonts w:hint="eastAsia" w:ascii="宋体" w:hAnsi="宋体" w:eastAsia="宋体" w:cs="Times New Roman"/>
          <w:color w:val="000000"/>
          <w:sz w:val="24"/>
          <w:szCs w:val="24"/>
          <w:highlight w:val="none"/>
        </w:rPr>
        <w:t xml:space="preserve">午</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:00:00（北京时间）</w:t>
      </w:r>
      <w:r>
        <w:rPr>
          <w:rFonts w:ascii="宋体" w:hAnsi="宋体" w:eastAsia="宋体" w:cs="Times New Roman"/>
          <w:color w:val="000000"/>
          <w:sz w:val="24"/>
          <w:szCs w:val="24"/>
          <w:highlight w:val="none"/>
        </w:rPr>
      </w:r>
      <w:r/>
    </w:p>
    <w:p>
      <w:pPr>
        <w:pStyle w:val="813"/>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2.开标时间与地点</w:t>
      </w:r>
      <w:r>
        <w:rPr>
          <w:rFonts w:ascii="宋体" w:hAnsi="宋体" w:eastAsia="宋体" w:cs="Times New Roman"/>
          <w:color w:val="000000"/>
          <w:sz w:val="24"/>
          <w:szCs w:val="24"/>
          <w:highlight w:val="none"/>
        </w:rPr>
      </w:r>
      <w:r/>
    </w:p>
    <w:p>
      <w:pPr>
        <w:pStyle w:val="813"/>
        <w:ind w:firstLine="480"/>
        <w:jc w:val="left"/>
        <w:keepLines w:val="0"/>
        <w:keepNext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开标时间：</w:t>
      </w:r>
      <w:r>
        <w:rPr>
          <w:rFonts w:hint="eastAsia" w:ascii="宋体" w:hAnsi="宋体" w:eastAsia="宋体" w:cs="宋体"/>
          <w:color w:val="000000"/>
          <w:sz w:val="24"/>
          <w:szCs w:val="24"/>
          <w:highlight w:val="none"/>
          <w:lang w:val="en-US" w:eastAsia="zh-CN"/>
        </w:rPr>
        <w:t xml:space="preserve">同</w:t>
      </w:r>
      <w:r>
        <w:rPr>
          <w:rFonts w:hint="eastAsia" w:ascii="宋体" w:hAnsi="宋体" w:eastAsia="宋体" w:cs="宋体"/>
          <w:color w:val="000000"/>
          <w:sz w:val="24"/>
          <w:szCs w:val="24"/>
          <w:highlight w:val="none"/>
          <w:u w:val="none"/>
          <w:lang w:val="en-US" w:eastAsia="zh-CN"/>
        </w:rPr>
        <w:t xml:space="preserve">提交投标文件截止时间</w:t>
      </w:r>
      <w:r>
        <w:rPr>
          <w:rFonts w:ascii="宋体" w:hAnsi="宋体" w:eastAsia="宋体" w:cs="Times New Roman"/>
          <w:color w:val="000000"/>
          <w:sz w:val="24"/>
          <w:szCs w:val="24"/>
          <w:highlight w:val="none"/>
        </w:rPr>
      </w:r>
      <w:r/>
    </w:p>
    <w:p>
      <w:pPr>
        <w:pStyle w:val="813"/>
        <w:ind w:firstLine="480"/>
        <w:jc w:val="left"/>
        <w:keepLines w:val="0"/>
        <w:keepNext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开标地点：“苏采云”政府采购交易系统网上开标大厅</w:t>
      </w:r>
      <w:r>
        <w:rPr>
          <w:rFonts w:ascii="宋体" w:hAnsi="宋体" w:eastAsia="宋体" w:cs="Times New Roman"/>
          <w:color w:val="000000"/>
          <w:sz w:val="24"/>
          <w:szCs w:val="24"/>
          <w:highlight w:val="none"/>
        </w:rPr>
      </w:r>
      <w:r/>
    </w:p>
    <w:p>
      <w:pPr>
        <w:pStyle w:val="813"/>
        <w:keepLines w:val="0"/>
        <w:keepNext/>
        <w:pageBreakBefore w:val="0"/>
        <w:spacing w:line="480" w:lineRule="exact"/>
        <w:widowControl w:val="off"/>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五、公告期限</w:t>
      </w:r>
      <w:r>
        <w:rPr>
          <w:rFonts w:hint="eastAsia" w:ascii="宋体" w:hAnsi="宋体" w:eastAsia="宋体" w:cs="宋体"/>
          <w:b/>
          <w:color w:val="000000"/>
          <w:sz w:val="28"/>
          <w:szCs w:val="20"/>
          <w:highlight w:val="none"/>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813"/>
        <w:keepLines w:val="0"/>
        <w:keepNext/>
        <w:pageBreakBefore w:val="0"/>
        <w:spacing w:line="480" w:lineRule="exact"/>
        <w:widowControl w:val="off"/>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六、其他补充事宜</w:t>
      </w:r>
      <w:r>
        <w:rPr>
          <w:rFonts w:hint="eastAsia" w:ascii="宋体" w:hAnsi="宋体" w:eastAsia="宋体" w:cs="宋体"/>
          <w:b/>
          <w:color w:val="000000"/>
          <w:sz w:val="28"/>
          <w:szCs w:val="20"/>
          <w:highlight w:val="none"/>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1.本次公开招标不收取投标保证金。</w:t>
      </w:r>
      <w:r>
        <w:rPr>
          <w:rFonts w:hint="eastAsia" w:ascii="宋体" w:hAnsi="宋体" w:eastAsia="宋体" w:cs="宋体"/>
          <w:color w:val="000000"/>
          <w:sz w:val="24"/>
          <w:szCs w:val="24"/>
          <w:highlight w:val="none"/>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rPr>
        <w:t xml:space="preserve">本招标文件中标注★的款项为实质性响应要求和条件，如不满足将按无效响应处理。</w:t>
      </w:r>
      <w:r>
        <w:rPr>
          <w:rFonts w:hint="eastAsia" w:ascii="宋体" w:hAnsi="宋体" w:eastAsia="宋体" w:cs="宋体"/>
          <w:color w:val="000000"/>
          <w:sz w:val="24"/>
          <w:szCs w:val="24"/>
          <w:highlight w:val="none"/>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.无论出于何种原因，采购人在采购活动开始前可对采购文件进行修改、补充或变更，其内容作为采购文件的重要组成部分，请各供应商关注</w:t>
      </w:r>
      <w:r>
        <w:rPr>
          <w:rFonts w:hint="eastAsia" w:ascii="宋体" w:hAnsi="宋体" w:eastAsia="宋体" w:cs="宋体"/>
          <w:color w:val="000000"/>
          <w:sz w:val="24"/>
          <w:szCs w:val="24"/>
          <w:highlight w:val="none"/>
          <w:lang w:val="en-US" w:eastAsia="zh-CN"/>
        </w:rPr>
        <w:t xml:space="preserve">江苏政府采购</w:t>
      </w:r>
      <w:r>
        <w:rPr>
          <w:rFonts w:hint="eastAsia" w:ascii="宋体" w:hAnsi="宋体" w:eastAsia="宋体" w:cs="宋体"/>
          <w:color w:val="000000"/>
          <w:sz w:val="24"/>
          <w:szCs w:val="24"/>
          <w:highlight w:val="none"/>
        </w:rPr>
        <w:t xml:space="preserve">网站。若因供应商自身原因未及时关注本项目有关修改、补充或变更信息，导致投标文件编制或提交失误，由此造成的一切损失由供应商自行承担。</w:t>
      </w:r>
      <w:r>
        <w:rPr>
          <w:rFonts w:hint="eastAsia" w:ascii="宋体" w:hAnsi="宋体" w:eastAsia="宋体" w:cs="宋体"/>
          <w:color w:val="000000"/>
          <w:sz w:val="24"/>
          <w:szCs w:val="24"/>
          <w:highlight w:val="none"/>
        </w:rPr>
      </w:r>
      <w:r/>
    </w:p>
    <w:p>
      <w:pPr>
        <w:pStyle w:val="813"/>
        <w:keepLines w:val="0"/>
        <w:keepNext/>
        <w:pageBreakBefore w:val="0"/>
        <w:spacing w:line="480" w:lineRule="exact"/>
        <w:widowControl w:val="off"/>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七、对本次招标提出询问，请按以下方式联系</w:t>
      </w:r>
      <w:r>
        <w:rPr>
          <w:rFonts w:hint="eastAsia" w:ascii="宋体" w:hAnsi="宋体" w:eastAsia="宋体" w:cs="宋体"/>
          <w:b/>
          <w:color w:val="000000"/>
          <w:sz w:val="28"/>
          <w:szCs w:val="20"/>
          <w:highlight w:val="none"/>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名    称：</w:t>
      </w:r>
      <w:r>
        <w:rPr>
          <w:rFonts w:hint="eastAsia" w:ascii="宋体" w:hAnsi="宋体" w:eastAsia="宋体" w:cs="宋体"/>
          <w:color w:val="000000"/>
          <w:sz w:val="24"/>
          <w:highlight w:val="none"/>
        </w:rPr>
        <w:t xml:space="preserve">连云港市环境卫生管理处</w:t>
      </w:r>
      <w:r>
        <w:rPr>
          <w:rFonts w:hint="eastAsia" w:ascii="宋体" w:hAnsi="宋体" w:eastAsia="宋体" w:cs="宋体"/>
          <w:color w:val="000000"/>
          <w:sz w:val="24"/>
          <w:szCs w:val="24"/>
          <w:highlight w:val="none"/>
          <w:lang w:eastAsia="zh-CN"/>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w:t>
      </w:r>
      <w:r>
        <w:rPr>
          <w:rFonts w:hint="eastAsia" w:ascii="宋体" w:hAnsi="宋体" w:eastAsia="宋体" w:cs="宋体"/>
          <w:color w:val="000000"/>
          <w:sz w:val="24"/>
          <w:highlight w:val="none"/>
        </w:rPr>
        <w:t xml:space="preserve">江苏省连云港市海州区狮树公路</w:t>
      </w:r>
      <w:r>
        <w:rPr>
          <w:rFonts w:hint="eastAsia" w:ascii="宋体" w:hAnsi="宋体" w:eastAsia="宋体" w:cs="宋体"/>
          <w:color w:val="000000"/>
          <w:sz w:val="24"/>
          <w:szCs w:val="24"/>
          <w:highlight w:val="none"/>
          <w:lang w:eastAsia="zh-CN"/>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联系方式：李</w:t>
      </w:r>
      <w:r>
        <w:rPr>
          <w:rFonts w:hint="eastAsia" w:ascii="宋体" w:hAnsi="宋体" w:eastAsia="宋体" w:cs="宋体"/>
          <w:color w:val="000000"/>
          <w:sz w:val="24"/>
          <w:szCs w:val="24"/>
          <w:highlight w:val="none"/>
          <w:lang w:val="en-US" w:eastAsia="zh-CN"/>
        </w:rPr>
        <w:t xml:space="preserve">工</w:t>
      </w:r>
      <w:r>
        <w:rPr>
          <w:rFonts w:hint="eastAsia" w:ascii="宋体" w:hAnsi="宋体" w:eastAsia="宋体" w:cs="宋体"/>
          <w:color w:val="000000"/>
          <w:sz w:val="24"/>
          <w:szCs w:val="24"/>
          <w:highlight w:val="none"/>
          <w:lang w:val="en-US" w:eastAsia="zh-CN"/>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华瑞国际工程咨询集团有限公司</w:t>
      </w:r>
      <w:r>
        <w:rPr>
          <w:rFonts w:hint="eastAsia" w:ascii="宋体" w:hAnsi="宋体" w:eastAsia="宋体" w:cs="宋体"/>
          <w:color w:val="000000"/>
          <w:sz w:val="24"/>
          <w:szCs w:val="24"/>
          <w:highlight w:val="none"/>
          <w:lang w:eastAsia="zh-CN"/>
        </w:rPr>
      </w:r>
      <w:r/>
    </w:p>
    <w:p>
      <w:pPr>
        <w:pStyle w:val="813"/>
        <w:ind w:firstLine="480"/>
        <w:keepLines w:val="0"/>
        <w:pageBreakBefore w:val="0"/>
        <w:spacing w:line="48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lang w:eastAsia="zh-CN"/>
        </w:rPr>
        <w:t xml:space="preserve">连云港市海州区海连东路9号商务大厦15楼</w:t>
      </w:r>
      <w:r>
        <w:rPr>
          <w:rFonts w:hint="eastAsia" w:ascii="宋体" w:hAnsi="宋体" w:eastAsia="宋体" w:cs="宋体"/>
          <w:color w:val="000000"/>
          <w:sz w:val="24"/>
          <w:highlight w:val="none"/>
          <w:lang w:eastAsia="zh-CN"/>
        </w:rPr>
      </w:r>
      <w:r/>
    </w:p>
    <w:p>
      <w:pPr>
        <w:pStyle w:val="813"/>
        <w:ind w:firstLine="480"/>
        <w:keepLines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联系方式：朱</w:t>
      </w:r>
      <w:r>
        <w:rPr>
          <w:rFonts w:hint="eastAsia" w:ascii="宋体" w:hAnsi="宋体" w:eastAsia="宋体" w:cs="宋体"/>
          <w:color w:val="000000"/>
          <w:sz w:val="24"/>
          <w:highlight w:val="none"/>
          <w:lang w:val="en-US" w:eastAsia="zh-CN"/>
        </w:rPr>
        <w:t xml:space="preserve">国锐</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15251212583</w:t>
      </w:r>
      <w:r>
        <w:rPr>
          <w:rFonts w:hint="eastAsia" w:ascii="宋体" w:hAnsi="宋体" w:eastAsia="宋体" w:cs="宋体"/>
          <w:color w:val="000000"/>
          <w:sz w:val="24"/>
          <w:highlight w:val="none"/>
          <w:lang w:val="en-US" w:eastAsia="zh-CN"/>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3.项目联系方式</w:t>
      </w:r>
      <w:r>
        <w:rPr>
          <w:rFonts w:hint="eastAsia" w:ascii="宋体" w:hAnsi="宋体" w:eastAsia="宋体" w:cs="宋体"/>
          <w:color w:val="000000"/>
          <w:sz w:val="24"/>
          <w:szCs w:val="24"/>
          <w:highlight w:val="none"/>
          <w:lang w:eastAsia="zh-CN"/>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项目联系人：李工</w:t>
      </w:r>
      <w:r>
        <w:rPr>
          <w:rFonts w:hint="eastAsia" w:ascii="宋体" w:hAnsi="宋体" w:eastAsia="宋体" w:cs="宋体"/>
          <w:color w:val="000000"/>
          <w:sz w:val="24"/>
          <w:szCs w:val="24"/>
          <w:highlight w:val="none"/>
          <w:lang w:val="en-US" w:eastAsia="zh-CN"/>
        </w:rPr>
      </w:r>
      <w:r/>
    </w:p>
    <w:p>
      <w:pPr>
        <w:pStyle w:val="813"/>
        <w:ind w:firstLine="480"/>
        <w:jc w:val="left"/>
        <w:keepLines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电      话：</w:t>
      </w:r>
      <w:r>
        <w:rPr>
          <w:rFonts w:hint="eastAsia" w:ascii="宋体" w:hAnsi="宋体" w:eastAsia="宋体" w:cs="宋体"/>
          <w:color w:val="000000"/>
          <w:sz w:val="24"/>
          <w:szCs w:val="24"/>
          <w:highlight w:val="none"/>
          <w:lang w:val="en-US" w:eastAsia="zh-CN"/>
        </w:rPr>
        <w:t xml:space="preserve">85381550</w:t>
      </w:r>
      <w:r>
        <w:rPr>
          <w:rFonts w:hint="eastAsia" w:ascii="宋体" w:hAnsi="宋体" w:eastAsia="宋体" w:cs="宋体"/>
          <w:color w:val="000000"/>
          <w:sz w:val="24"/>
          <w:szCs w:val="24"/>
          <w:highlight w:val="none"/>
          <w:lang w:val="en-US" w:eastAsia="zh-CN"/>
        </w:rPr>
      </w:r>
      <w:r/>
    </w:p>
    <w:p>
      <w:pPr>
        <w:pStyle w:val="813"/>
        <w:keepLines w:val="0"/>
        <w:keepNext/>
        <w:pageBreakBefore w:val="0"/>
        <w:spacing w:line="480" w:lineRule="exact"/>
        <w:widowControl w:val="off"/>
        <w:rPr>
          <w:rFonts w:hint="eastAsia" w:ascii="宋体" w:hAnsi="宋体" w:eastAsia="宋体" w:cs="宋体"/>
          <w:b/>
          <w:color w:val="000000"/>
          <w:sz w:val="28"/>
          <w:szCs w:val="20"/>
          <w:highlight w:val="none"/>
          <w:lang w:eastAsia="zh-CN"/>
        </w:rPr>
        <w:outlineLvl w:val="1"/>
      </w:pPr>
      <w:r>
        <w:rPr>
          <w:rFonts w:hint="eastAsia" w:ascii="宋体" w:hAnsi="宋体" w:eastAsia="宋体" w:cs="宋体"/>
          <w:b/>
          <w:color w:val="000000"/>
          <w:sz w:val="28"/>
          <w:szCs w:val="20"/>
          <w:highlight w:val="none"/>
        </w:rPr>
        <w:t xml:space="preserve">八、</w:t>
      </w:r>
      <w:r>
        <w:rPr>
          <w:rFonts w:hint="eastAsia" w:ascii="宋体" w:hAnsi="宋体" w:eastAsia="宋体" w:cs="宋体"/>
          <w:b/>
          <w:color w:val="000000"/>
          <w:sz w:val="28"/>
          <w:szCs w:val="20"/>
          <w:highlight w:val="none"/>
          <w:lang w:val="en-US" w:eastAsia="zh-CN"/>
        </w:rPr>
        <w:t xml:space="preserve">其他</w:t>
      </w:r>
      <w:r>
        <w:rPr>
          <w:rFonts w:hint="eastAsia" w:ascii="宋体" w:hAnsi="宋体" w:eastAsia="宋体" w:cs="宋体"/>
          <w:b/>
          <w:color w:val="000000"/>
          <w:sz w:val="28"/>
          <w:szCs w:val="20"/>
          <w:highlight w:val="none"/>
          <w:lang w:eastAsia="zh-CN"/>
        </w:rPr>
      </w:r>
      <w:r/>
    </w:p>
    <w:p>
      <w:pPr>
        <w:pStyle w:val="813"/>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1.根据省财政厅</w:t>
      </w:r>
      <w:r>
        <w:rPr>
          <w:rFonts w:hint="eastAsia" w:ascii="宋体" w:hAnsi="宋体" w:eastAsia="宋体" w:cs="宋体"/>
          <w:color w:val="000000"/>
          <w:sz w:val="24"/>
          <w:szCs w:val="24"/>
          <w:highlight w:val="none"/>
        </w:rPr>
        <w:t xml:space="preserve">《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highlight w:val="none"/>
        </w:rPr>
      </w:r>
      <w:r/>
    </w:p>
    <w:p>
      <w:pPr>
        <w:pStyle w:val="813"/>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取CA和办理电子签章，具体联系方式见《苏采云系统供应商操作手册》（以下简称《操作手册》））、进行注册并按《操作手册》要求制作、上传电子投标文件，参加开标，澄清、说明或者补正。因投标人未按要求操作原因导致电子投标文件被拒绝、造成无效响应的，自行承担一切损失。</w:t>
      </w:r>
      <w:r>
        <w:rPr>
          <w:rFonts w:hint="eastAsia" w:ascii="宋体" w:hAnsi="宋体" w:eastAsia="宋体" w:cs="宋体"/>
          <w:color w:val="000000"/>
          <w:sz w:val="24"/>
          <w:szCs w:val="24"/>
          <w:highlight w:val="none"/>
        </w:rPr>
      </w:r>
      <w:r/>
    </w:p>
    <w:p>
      <w:pPr>
        <w:pStyle w:val="813"/>
        <w:numPr>
          <w:ilvl w:val="0"/>
          <w:numId w:val="2"/>
        </w:numPr>
        <w:ind w:firstLine="480"/>
        <w:jc w:val="left"/>
        <w:keepLines w:val="0"/>
        <w:keepNext w:val="0"/>
        <w:pageBreakBefore w:val="0"/>
        <w:spacing w:line="480" w:lineRule="exact"/>
        <w:widowControl w:val="off"/>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color w:val="000000"/>
          <w:sz w:val="24"/>
          <w:szCs w:val="24"/>
          <w:highlight w:val="none"/>
        </w:rPr>
      </w:r>
      <w:r/>
    </w:p>
    <w:p>
      <w:pPr>
        <w:pStyle w:val="813"/>
        <w:numPr>
          <w:ilvl w:val="0"/>
          <w:numId w:val="0"/>
        </w:numPr>
        <w:jc w:val="left"/>
        <w:keepLines w:val="0"/>
        <w:keepNext w:val="0"/>
        <w:pageBreakBefore w:val="0"/>
        <w:spacing w:line="420" w:lineRule="exact"/>
        <w:widowControl w:val="off"/>
        <w:rPr>
          <w:rFonts w:hint="eastAsia" w:ascii="宋体" w:hAnsi="宋体" w:eastAsia="宋体" w:cs="宋体"/>
          <w:color w:val="000000"/>
          <w:sz w:val="36"/>
          <w:szCs w:val="20"/>
          <w:highlight w:val="none"/>
        </w:rPr>
      </w:pPr>
      <w:r/>
      <w:bookmarkStart w:id="7" w:name="_Toc513622227"/>
      <w:r>
        <w:rPr>
          <w:rFonts w:hint="eastAsia" w:ascii="宋体" w:hAnsi="宋体" w:eastAsia="宋体" w:cs="宋体"/>
          <w:color w:val="000000"/>
          <w:sz w:val="36"/>
          <w:szCs w:val="20"/>
          <w:highlight w:val="none"/>
        </w:rPr>
      </w:r>
      <w:r/>
    </w:p>
    <w:p>
      <w:pPr>
        <w:pStyle w:val="813"/>
        <w:numPr>
          <w:ilvl w:val="0"/>
          <w:numId w:val="0"/>
        </w:numPr>
        <w:jc w:val="left"/>
        <w:keepLines w:val="0"/>
        <w:keepNext w:val="0"/>
        <w:pageBreakBefore w:val="0"/>
        <w:spacing w:line="420" w:lineRule="exact"/>
        <w:widowControl w:val="off"/>
        <w:rPr>
          <w:rFonts w:hint="eastAsia" w:ascii="宋体" w:hAnsi="宋体" w:eastAsia="宋体" w:cs="宋体"/>
          <w:color w:val="000000"/>
          <w:sz w:val="36"/>
          <w:szCs w:val="20"/>
          <w:highlight w:val="none"/>
        </w:rPr>
        <w:sectPr>
          <w:footerReference w:type="default" r:id="rId15"/>
          <w:footerReference w:type="first" r:id="rId16"/>
          <w:footnotePr/>
          <w:endnotePr/>
          <w:type w:val="nextPage"/>
          <w:pgSz w:w="11906" w:h="16838" w:orient="portrait"/>
          <w:pgMar w:top="1134" w:right="1134" w:bottom="1134" w:left="1134" w:header="720" w:footer="720" w:gutter="0"/>
          <w:pgNumType w:start="1"/>
          <w:cols w:num="1" w:sep="0" w:space="1701" w:equalWidth="1"/>
          <w:docGrid w:linePitch="360"/>
        </w:sectPr>
      </w:pPr>
      <w:r>
        <w:rPr>
          <w:rFonts w:hint="eastAsia" w:ascii="宋体" w:hAnsi="宋体" w:eastAsia="宋体" w:cs="宋体"/>
          <w:color w:val="000000"/>
          <w:sz w:val="36"/>
          <w:szCs w:val="20"/>
          <w:highlight w:val="none"/>
        </w:rPr>
      </w:r>
      <w:r/>
    </w:p>
    <w:p>
      <w:pPr>
        <w:pStyle w:val="813"/>
        <w:jc w:val="center"/>
        <w:keepLines/>
        <w:keepNext/>
        <w:spacing w:line="360" w:lineRule="auto"/>
        <w:rPr>
          <w:rFonts w:hint="eastAsia" w:ascii="宋体" w:hAnsi="宋体" w:eastAsia="宋体" w:cs="宋体"/>
          <w:color w:val="000000"/>
          <w:sz w:val="36"/>
          <w:szCs w:val="20"/>
          <w:highlight w:val="none"/>
        </w:rPr>
        <w:outlineLvl w:val="0"/>
      </w:pPr>
      <w:r/>
      <w:bookmarkStart w:id="8" w:name="_Toc16971"/>
      <w:r>
        <w:rPr>
          <w:rFonts w:hint="eastAsia" w:ascii="宋体" w:hAnsi="宋体" w:eastAsia="宋体" w:cs="宋体"/>
          <w:color w:val="000000"/>
          <w:sz w:val="36"/>
          <w:szCs w:val="20"/>
          <w:highlight w:val="none"/>
        </w:rPr>
        <w:t xml:space="preserve">第二章  投标人须知</w:t>
      </w:r>
      <w:bookmarkEnd w:id="4"/>
      <w:r/>
      <w:bookmarkEnd w:id="5"/>
      <w:r/>
      <w:bookmarkEnd w:id="7"/>
      <w:r/>
      <w:bookmarkEnd w:id="8"/>
      <w:r>
        <w:rPr>
          <w:rFonts w:hint="eastAsia" w:ascii="宋体" w:hAnsi="宋体" w:eastAsia="宋体" w:cs="宋体"/>
          <w:color w:val="000000"/>
          <w:sz w:val="36"/>
          <w:szCs w:val="20"/>
          <w:highlight w:val="none"/>
        </w:rPr>
      </w:r>
      <w:r/>
    </w:p>
    <w:p>
      <w:pPr>
        <w:pStyle w:val="813"/>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一、总则</w:t>
      </w:r>
      <w:r>
        <w:rPr>
          <w:rFonts w:hint="eastAsia" w:ascii="宋体" w:hAnsi="宋体" w:eastAsia="宋体" w:cs="宋体"/>
          <w:b/>
          <w:color w:val="000000"/>
          <w:sz w:val="28"/>
          <w:szCs w:val="20"/>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采购人、项目（标段）名称及编号，详见第一章“投标邀请”。</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采购预算</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本项目的采购预算，详见第一章“投标邀请”。</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资金来源</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“投标邀请”中所述的采购人已获得一笔政府采购资金，用于采购第六章“项目需求”所列内容。</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采购方式</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本项目采用公开招标采购方式，招标、投标、开标、评标和中标结果发布全程电子化。</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合格的投标人</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投标人应符合第一章“投标邀请”中规定的条件，否则投标无效。</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投标人不得直接或间接地与为本次采购的标的进行设计、编制规范和其他文件的咨询公司、采购（代理）机构或其附属机构有任何关联。 </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符合上述条件的投标人应承担投标及履约过程</w:t>
      </w:r>
      <w:r>
        <w:rPr>
          <w:rFonts w:hint="eastAsia" w:eastAsia="宋体"/>
          <w:lang w:val="en-US" w:eastAsia="zh-CN"/>
        </w:rPr>
        <w:t xml:space="preserve">中</w:t>
      </w:r>
      <w:r>
        <w:rPr>
          <w:rFonts w:hint="eastAsia" w:ascii="宋体" w:hAnsi="宋体" w:eastAsia="宋体" w:cs="宋体"/>
          <w:color w:val="000000"/>
          <w:sz w:val="24"/>
          <w:szCs w:val="24"/>
          <w:highlight w:val="none"/>
        </w:rPr>
        <w:t xml:space="preserve">应承担的全部责任与义务。</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投标费用</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不论投标结果如何，投标人均应自行承担所有与编写和提交投标文件有关的全部费用。</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质疑</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质疑的提出</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 提出质疑的供应商应当是参与所质疑项目采购活动的供应商。</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color w:val="000000"/>
          <w:sz w:val="24"/>
          <w:szCs w:val="24"/>
          <w:highlight w:val="none"/>
          <w:lang w:eastAsia="zh-CN"/>
        </w:rPr>
        <w:t xml:space="preserve">华瑞国际工程咨询集团有限公司</w:t>
      </w:r>
      <w:r>
        <w:rPr>
          <w:rFonts w:hint="eastAsia" w:ascii="宋体" w:hAnsi="宋体" w:eastAsia="宋体" w:cs="宋体"/>
          <w:color w:val="000000"/>
          <w:sz w:val="24"/>
          <w:szCs w:val="24"/>
          <w:highlight w:val="none"/>
        </w:rPr>
        <w:t xml:space="preserve">（以下简称代理机构）提出质疑。供应商应当在法定质疑期内一次性提出针对同一采购程序环节的质疑。未依照采购公告要求获取招标文件的供应商，视为未参与该项目的采购活动，不具备对该招标文件提出质疑的法定权利。</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7.1.3 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7.1.4 质疑函的接收方式为供应商书面原件提交。联系部门、联系电话和通讯地址详见第一章“投标邀请”。质疑实行实名制，不得进行虚假、恶意质疑。</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7.1.5 质疑函应当使用范本（详见连云港市政府采购交易平台-监管信息-意见反馈）。</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供应商提出质疑应当提交质疑函和必要的证明材料，应当包括下列内容：</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（1）供应商的姓名或者名称、地址、邮编、联系人及联系电话；</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（7）必要的证明材料；</w:t>
      </w:r>
      <w:r>
        <w:rPr>
          <w:rFonts w:hint="eastAsia" w:ascii="宋体" w:hAnsi="宋体" w:eastAsia="宋体" w:cs="宋体"/>
          <w:b/>
          <w:color w:val="000000"/>
          <w:sz w:val="24"/>
          <w:szCs w:val="24"/>
          <w:highlight w:val="none"/>
        </w:rPr>
      </w:r>
      <w:r/>
    </w:p>
    <w:p>
      <w:pPr>
        <w:pStyle w:val="813"/>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（8）采购文件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交易文件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下载回执函；</w:t>
      </w:r>
      <w:r>
        <w:rPr>
          <w:rFonts w:hint="eastAsia" w:ascii="宋体" w:hAnsi="宋体" w:eastAsia="宋体" w:cs="宋体"/>
          <w:b/>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（9）营业执照复印件及法定代表人授权委托书、法定代表人身份证复印件、委托代理人身份证复印件。</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供应商为自然人的，应当由本人签字；供应商为法人或者其他组织的，应当由法定代表人、主要负责人，或者其授权代理人签字或者盖章，并加盖单位公章。</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质疑函的受理和答复</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7.2.3 对不符合质疑要求的，采购人、代理机构有权要求其补充必要的证明材料，质疑供应商未在法定的时间内提供补充必要的证明材料的，视同放弃质疑。</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质疑处理</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 质疑供应商未按照法定程序进行质疑投诉的，视为一般失信行为。</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 质疑供应商不配合或者采用不正当手段干扰政府采购质疑、投诉处理工作的，视为一般失信行为。</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7.3.3 质疑供应商投诉受理期间，就同一事项多头举报，干扰财政部门投诉处理的，视为一般失信行为。</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7.3.4 质疑供应商在全国范围12个月内三次以上质疑查无实据的，视为一般失信行为。</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7.3.6 质疑供应商在全国范围12个月内三次以上投诉查无实据的，视为严重失信行为。</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未尽事宜，依照有关法律、法规执行。</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投诉</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8.1 投诉事项依照有关法律、法规执行。</w:t>
      </w:r>
      <w:r>
        <w:rPr>
          <w:rFonts w:hint="eastAsia" w:ascii="宋体" w:hAnsi="宋体" w:eastAsia="宋体" w:cs="宋体"/>
          <w:bCs/>
          <w:color w:val="000000"/>
          <w:sz w:val="24"/>
          <w:szCs w:val="24"/>
          <w:highlight w:val="none"/>
        </w:rPr>
      </w:r>
      <w:r/>
    </w:p>
    <w:p>
      <w:pPr>
        <w:pStyle w:val="813"/>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二、招标文件</w:t>
      </w:r>
      <w:r>
        <w:rPr>
          <w:rFonts w:hint="eastAsia" w:ascii="宋体" w:hAnsi="宋体" w:eastAsia="宋体" w:cs="宋体"/>
          <w:b/>
          <w:color w:val="000000"/>
          <w:sz w:val="28"/>
          <w:szCs w:val="20"/>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招标文件构成</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要求提供的货物、招标过程及合同条款在招标文件中均有说明，招标文件分为七章，各章的内容如下：</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第一章  投标邀请</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政府采购合同格式</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第四章  投标文件格式</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第五章  合同专用条款表</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第六章  项目需求</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第七章  评标办法</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招标文件的澄清或修改</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采购人或者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澄清或者修改的内容可能影响投标文件编制的，采购人或者代理机构应当在投标截止时间至少15日前，在江苏政府采购网上发布公告形式通知所有获取招标文件的潜在投标人；不足15日的，采购人或者代理机构应当顺延提交投标文件的截止时间。</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澄清或者修改的内容可能影响资格预审申请文件编制的，采购人或者代理机构应当在提交资格预审申请文件截止时间至少3日前，以在江苏政府采购网上发布公告形式通知所有获取资格预审文件的潜在投标人；不足3日的，采购人或者代理机构应当顺延提交资格预审申请文件的截止时间。</w:t>
      </w:r>
      <w:r>
        <w:rPr>
          <w:rFonts w:hint="eastAsia" w:ascii="宋体" w:hAnsi="宋体" w:eastAsia="宋体" w:cs="宋体"/>
          <w:color w:val="000000"/>
          <w:sz w:val="24"/>
          <w:szCs w:val="24"/>
          <w:highlight w:val="none"/>
        </w:rPr>
      </w:r>
      <w:r/>
    </w:p>
    <w:p>
      <w:pPr>
        <w:pStyle w:val="813"/>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三、投标文件的编制</w:t>
      </w:r>
      <w:r>
        <w:rPr>
          <w:rFonts w:hint="eastAsia" w:ascii="宋体" w:hAnsi="宋体" w:eastAsia="宋体" w:cs="宋体"/>
          <w:b/>
          <w:color w:val="000000"/>
          <w:sz w:val="28"/>
          <w:szCs w:val="20"/>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投标文件编写注意事项</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无效响应处理。</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作出满足或者优于原要求和条件的响应。</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招标文件中标注★号的部分为实质性要求和条件。</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投标的语言及计量单位</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投标人的投标文件以及投标人与代理机构就有关投标的所有来往函电统一使用中文（特别规定除外），既有中文也有外文的，以中文意义为准。</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投标文件中使用的计量单位除招标文件中有特殊规定外，一律使用中国法定计量单位。</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投标报价</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（1）投标的货物总价；</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（2）货物的标准附件、备品备件、专用工具、运输、装卸等各种费用；</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（3）必要的保险费用和各项税金；</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（4）投标总价要求包含安装维保费用。</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投标人可就第六章“项目需求”中的某个分标货物内容作完整唯一报价，也可就所有分标或某几个分标货物内容分别作完整唯一报价。</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投标货币</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投标应以人民币报价。</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投标文件有效期</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本项目投标文件有效期为：投标文件接收截止时间结束后60天内，投标文件有效期不符合招标文件要求的，该投标人投标无效。</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在特殊情况下，代理机构可与投标人协商延长投标文件的有效期，这种要求与答复均应以书面形式提交。</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投标保证金</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本项目不收取投标保证金。</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投标文件制作工具</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系统操作流程详见江苏政府采购网－办事指南－资料下载-江苏省政府采购管理交易系统（苏采云）供应商操作指南，请及时关注版本更新。</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投标文件构成</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投标人编制的投标文件应包括商务文件、技术文件、评审因素所需材料和其他材料等内容，相关文件的提交如未特别注明可提供扫描件。</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投标文件格式：</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填写投标人名称、投标人地址、法定代表人、委托代理人、日期等内容。</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18.2 商务文件：（政府采购政策有关材料可选提交；委托代理时必须提交法定代表人授权委托书，否则投标无效；其他文件必须提交，否则投标无效）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（1）响应函：请按给定格式及要求填写。</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（2）开标一览表：请按给定格式及要求填写。</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（3）报价明细表：请按“投标文件格式”提供的“报价明细表”格式及要求填写。</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（5）资格审查材料：</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投标单位基本信息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财务状况报告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税收证明、社保证明请上传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（6）法定代表人授权委托书：请</w:t>
      </w:r>
      <w:r>
        <w:rPr>
          <w:rFonts w:hint="eastAsia" w:ascii="宋体" w:hAnsi="宋体" w:eastAsia="宋体" w:cs="宋体"/>
          <w:color w:val="000000"/>
          <w:sz w:val="24"/>
          <w:szCs w:val="24"/>
          <w:highlight w:val="none"/>
          <w:lang w:eastAsia="zh-CN"/>
        </w:rPr>
        <w:t xml:space="preserve">按规定</w:t>
      </w:r>
      <w:r>
        <w:rPr>
          <w:rFonts w:hint="eastAsia" w:ascii="宋体" w:hAnsi="宋体" w:eastAsia="宋体" w:cs="宋体"/>
          <w:color w:val="000000"/>
          <w:sz w:val="24"/>
          <w:szCs w:val="24"/>
          <w:highlight w:val="none"/>
        </w:rPr>
        <w:t xml:space="preserve">格式及要求填写。</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（7）商务条款偏离表：请按给定格式及要求，并根据投标人投标承诺的商务条件与“合同条款”“合同专用条款表”“项目需求”等的差异填写。</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（8）售后服务承诺书：请按给定格式及要求填写。</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技术文件：（以下文件必须提交，否则该投标人投标无效）</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（1）技术标：可以但不限于技术方案、产品技术资料、招标文件规定的其他文件等，格式自定。</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（2）技术规格偏离表：按第四章“投标文件格式”提供的“技术规格偏离表”的格式及要求，根据投标人投标的货物与“项目需求”相关技术规格要求的差异填写。</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（3）项目需求响应：格式自定。</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 评审因素所需材料：</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如有，请按招标文件要求提供。</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 其他材料：</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如有，请按招标文件要求提供。</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 生成投标文件</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投标文件应由法定代表人或其委托代理人在凡规定签章处逐一签字或盖章并加盖投标人公章（相关内容可以打印、签字、盖章后扫描电子件）或使用电子签章，本招标文件所表述的公章是指刻有投标人法定名称的印章，不包括合同、财务、税务、发票等形式的业务专用章。</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电子投标文件不得涂改、行间插字或删除，如出现上述情况应重新编制。</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 如标书制作工具中格式和内容与“江苏政府采购网”发布的招标文件不一致，请以“江苏政府采购网”发布的招标文件为准。</w:t>
      </w:r>
      <w:r>
        <w:rPr>
          <w:rFonts w:hint="eastAsia" w:ascii="宋体" w:hAnsi="宋体" w:eastAsia="宋体" w:cs="宋体"/>
          <w:color w:val="000000"/>
          <w:sz w:val="24"/>
          <w:szCs w:val="24"/>
          <w:highlight w:val="none"/>
        </w:rPr>
      </w:r>
      <w:r/>
    </w:p>
    <w:p>
      <w:pPr>
        <w:pStyle w:val="813"/>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四、投标文件及样品的提交</w:t>
      </w:r>
      <w:r>
        <w:rPr>
          <w:rFonts w:hint="eastAsia" w:ascii="宋体" w:hAnsi="宋体" w:eastAsia="宋体" w:cs="宋体"/>
          <w:b/>
          <w:color w:val="000000"/>
          <w:sz w:val="28"/>
          <w:szCs w:val="20"/>
          <w:highlight w:val="none"/>
        </w:rPr>
      </w:r>
      <w:r/>
    </w:p>
    <w:p>
      <w:pPr>
        <w:pStyle w:val="81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.投标文件的递交</w:t>
      </w:r>
      <w:r>
        <w:rPr>
          <w:rFonts w:hint="eastAsia" w:ascii="宋体" w:hAnsi="宋体" w:eastAsia="宋体" w:cs="宋体"/>
          <w:color w:val="000000"/>
          <w:sz w:val="24"/>
          <w:szCs w:val="24"/>
          <w:highlight w:val="none"/>
          <w:lang w:eastAsia="zh-CN"/>
        </w:rPr>
        <w:t xml:space="preserve">、修改和撤回</w:t>
      </w:r>
      <w:r>
        <w:rPr>
          <w:rFonts w:hint="eastAsia" w:ascii="宋体" w:hAnsi="宋体" w:eastAsia="宋体" w:cs="宋体"/>
          <w:color w:val="000000"/>
          <w:sz w:val="24"/>
          <w:szCs w:val="24"/>
          <w:highlight w:val="none"/>
          <w:lang w:eastAsia="zh-CN"/>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.1 电子投标文件的递交</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rPr>
        <w:t xml:space="preserve">.投标截止时间</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rPr>
        <w:t xml:space="preserve">.1 投标人上传电子投标文件的时间不得迟于招标公告中规定的投标截止时间。</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投标人应充分考虑到网络环境、网络带宽等风险因素，如因投标人自身原因造成的电子投标文件上传不成功的按照本招标文件规定做无效投标处理。</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rPr>
        <w:t xml:space="preserve">.2 采购代理机构可以按照规定，通过修改招标文件酌情延长投标截止时间，在此情况下，投标人的所有权利和义务以及投标人受制的截止时间均应以延长后新的截止时间为准。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20.3</w:t>
      </w:r>
      <w:r>
        <w:rPr>
          <w:rFonts w:hint="eastAsia" w:ascii="宋体" w:hAnsi="宋体" w:eastAsia="宋体" w:cs="宋体"/>
          <w:color w:val="000000"/>
          <w:sz w:val="24"/>
          <w:szCs w:val="24"/>
          <w:highlight w:val="none"/>
        </w:rPr>
        <w:t xml:space="preserve">投标文件的拒收</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20.3.1</w:t>
      </w:r>
      <w:r>
        <w:rPr>
          <w:rFonts w:hint="eastAsia" w:ascii="宋体" w:hAnsi="宋体" w:eastAsia="宋体" w:cs="宋体"/>
          <w:color w:val="000000"/>
          <w:sz w:val="24"/>
          <w:szCs w:val="24"/>
          <w:highlight w:val="none"/>
        </w:rPr>
        <w:t xml:space="preserve">采购代理机构拒绝接收在其规定的投标截止时间后上传的任何投标文件。</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20.4</w:t>
      </w:r>
      <w:r>
        <w:rPr>
          <w:rFonts w:hint="eastAsia" w:ascii="宋体" w:hAnsi="宋体" w:eastAsia="宋体" w:cs="宋体"/>
          <w:color w:val="000000"/>
          <w:sz w:val="24"/>
          <w:szCs w:val="24"/>
          <w:highlight w:val="none"/>
        </w:rPr>
        <w:t xml:space="preserve">投标文件的撤回和修改</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20.4.1</w:t>
      </w:r>
      <w:r>
        <w:rPr>
          <w:rFonts w:hint="eastAsia" w:ascii="宋体" w:hAnsi="宋体" w:eastAsia="宋体" w:cs="宋体"/>
          <w:color w:val="000000"/>
          <w:sz w:val="24"/>
          <w:szCs w:val="24"/>
          <w:highlight w:val="none"/>
        </w:rPr>
        <w:t xml:space="preserve"> 投标文件的撤回</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电子投标文件的撤回</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投标人撤回电子投标文件，则认为其不再参与本项目投标活动。</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20.4.2</w:t>
      </w:r>
      <w:r>
        <w:rPr>
          <w:rFonts w:hint="eastAsia" w:ascii="宋体" w:hAnsi="宋体" w:eastAsia="宋体" w:cs="宋体"/>
          <w:color w:val="000000"/>
          <w:sz w:val="24"/>
          <w:szCs w:val="24"/>
          <w:highlight w:val="none"/>
        </w:rPr>
        <w:t xml:space="preserve"> 投标文件的修改</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（1）投标人可在投标截止时间前，对其电子投标文件进行修改，具体操作方法见《操作手册》。</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（2）在投标截止时间之后，投标人不得对其电子投标文件作任何修改。</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20.4.3</w:t>
      </w:r>
      <w:r>
        <w:rPr>
          <w:rFonts w:hint="eastAsia" w:ascii="宋体" w:hAnsi="宋体" w:eastAsia="宋体" w:cs="宋体"/>
          <w:color w:val="000000"/>
          <w:sz w:val="24"/>
          <w:szCs w:val="24"/>
          <w:highlight w:val="none"/>
        </w:rPr>
        <w:t xml:space="preserve">在投标截止时间至招标文件中规定的投标有效期满之间的这段时间内，投标人不得撤回其投标。</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提交投标样品截止时间和地点</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采购项目需要提交样品的，投标人应当于招标文件规定的样品接收截止</w:t>
      </w:r>
      <w:r>
        <w:rPr>
          <w:rFonts w:hint="eastAsia" w:ascii="宋体" w:hAnsi="宋体" w:eastAsia="宋体" w:cs="宋体"/>
          <w:bCs/>
          <w:color w:val="000000"/>
          <w:sz w:val="24"/>
          <w:szCs w:val="24"/>
          <w:highlight w:val="none"/>
        </w:rPr>
        <w:t xml:space="preserve">时间前将样品送达指定地点并登记完毕</w:t>
      </w:r>
      <w:r>
        <w:rPr>
          <w:rFonts w:hint="eastAsia" w:ascii="宋体" w:hAnsi="宋体" w:eastAsia="宋体" w:cs="宋体"/>
          <w:color w:val="000000"/>
          <w:sz w:val="24"/>
          <w:szCs w:val="24"/>
          <w:highlight w:val="none"/>
        </w:rPr>
        <w:t xml:space="preserve">，否则不予接收。</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中标人提供的样品由采购人封存、保管，作为履约验收的参考。未中标人提供的样品，投标人应在中标结果公布后两个工作日内领回，否则按无主物品处理。</w:t>
      </w:r>
      <w:r>
        <w:rPr>
          <w:rFonts w:hint="eastAsia" w:ascii="宋体" w:hAnsi="宋体" w:eastAsia="宋体" w:cs="宋体"/>
          <w:color w:val="000000"/>
          <w:sz w:val="24"/>
          <w:szCs w:val="24"/>
          <w:highlight w:val="none"/>
        </w:rPr>
      </w:r>
      <w:r/>
    </w:p>
    <w:p>
      <w:pPr>
        <w:pStyle w:val="813"/>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五、开标与评标</w:t>
      </w:r>
      <w:r>
        <w:rPr>
          <w:rFonts w:hint="eastAsia" w:ascii="宋体" w:hAnsi="宋体" w:eastAsia="宋体" w:cs="宋体"/>
          <w:b/>
          <w:color w:val="000000"/>
          <w:sz w:val="28"/>
          <w:szCs w:val="20"/>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开标</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22.2开标仪式由采购代理机构组织。苏采云系统将自动对项目进行开标，并宣布各投标人名称和投标价格。</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评标委员会</w:t>
      </w:r>
      <w:r>
        <w:rPr>
          <w:rFonts w:hint="eastAsia" w:ascii="宋体" w:hAnsi="宋体" w:eastAsia="宋体" w:cs="宋体"/>
          <w:color w:val="000000"/>
          <w:sz w:val="24"/>
          <w:szCs w:val="24"/>
          <w:highlight w:val="none"/>
        </w:rPr>
      </w:r>
      <w:r/>
    </w:p>
    <w:p>
      <w:pPr>
        <w:pStyle w:val="813"/>
        <w:ind w:left="0" w:firstLine="480"/>
        <w:jc w:val="left"/>
        <w:pageBreakBefore w:val="0"/>
        <w:spacing w:line="360" w:lineRule="auto"/>
        <w:widowControl w:val="off"/>
        <w:rPr>
          <w:rFonts w:hint="eastAsia" w:ascii="宋体" w:hAnsi="宋体" w:eastAsia="宋体" w:cs="宋体"/>
          <w:b/>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23.1</w:t>
      </w:r>
      <w:r>
        <w:rPr>
          <w:rFonts w:hint="eastAsia" w:ascii="宋体" w:hAnsi="宋体" w:eastAsia="宋体" w:cs="宋体"/>
          <w:b/>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t xml:space="preserve">开标后，</w:t>
      </w:r>
      <w:r>
        <w:rPr>
          <w:rFonts w:hint="eastAsia" w:ascii="宋体" w:hAnsi="宋体" w:eastAsia="宋体" w:cs="宋体"/>
          <w:i w:val="0"/>
          <w:iCs w:val="0"/>
          <w:color w:val="000000"/>
          <w:sz w:val="24"/>
          <w:szCs w:val="24"/>
          <w:highlight w:val="none"/>
          <w:lang w:eastAsia="zh-CN"/>
        </w:rPr>
        <w:t xml:space="preserve">采购代理机构</w:t>
      </w:r>
      <w:r>
        <w:rPr>
          <w:rFonts w:hint="eastAsia" w:ascii="宋体" w:hAnsi="宋体" w:eastAsia="宋体" w:cs="宋体"/>
          <w:i w:val="0"/>
          <w:iCs w:val="0"/>
          <w:color w:val="000000"/>
          <w:sz w:val="24"/>
          <w:szCs w:val="24"/>
          <w:highlight w:val="none"/>
        </w:rPr>
        <w:t xml:space="preserve">将立即组织评标委员会（以下简称评委会）进行评标。</w:t>
      </w:r>
      <w:r>
        <w:rPr>
          <w:rFonts w:hint="eastAsia" w:ascii="宋体" w:hAnsi="宋体" w:eastAsia="宋体" w:cs="宋体"/>
          <w:b/>
          <w:i w:val="0"/>
          <w:iCs w:val="0"/>
          <w:color w:val="000000"/>
          <w:sz w:val="24"/>
          <w:szCs w:val="24"/>
          <w:highlight w:val="none"/>
        </w:rPr>
      </w:r>
      <w:r/>
    </w:p>
    <w:p>
      <w:pPr>
        <w:pStyle w:val="813"/>
        <w:ind w:left="0" w:firstLine="480"/>
        <w:jc w:val="left"/>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23.2 评委会由采购人代表和有关技术、经济等方面的专家组成，且人员构成符合政府采购有关规定。</w:t>
      </w:r>
      <w:r>
        <w:rPr>
          <w:rFonts w:hint="eastAsia" w:ascii="宋体" w:hAnsi="宋体" w:eastAsia="宋体" w:cs="宋体"/>
          <w:i w:val="0"/>
          <w:iCs w:val="0"/>
          <w:color w:val="000000"/>
          <w:sz w:val="24"/>
          <w:szCs w:val="24"/>
          <w:highlight w:val="none"/>
        </w:rPr>
      </w:r>
      <w:r/>
    </w:p>
    <w:p>
      <w:pPr>
        <w:pStyle w:val="813"/>
        <w:ind w:lef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rPr>
        <w:t xml:space="preserve">23.3评委会独立工作，负责评审所有投标文件并确定中标</w:t>
      </w:r>
      <w:r>
        <w:rPr>
          <w:rFonts w:hint="eastAsia" w:ascii="宋体" w:hAnsi="宋体" w:eastAsia="宋体" w:cs="宋体"/>
          <w:i w:val="0"/>
          <w:iCs w:val="0"/>
          <w:color w:val="000000"/>
          <w:sz w:val="24"/>
          <w:szCs w:val="24"/>
          <w:highlight w:val="none"/>
          <w:lang w:eastAsia="zh-CN"/>
        </w:rPr>
        <w:t xml:space="preserve">候选人</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4"/>
          <w:highlight w:val="none"/>
        </w:rPr>
        <w:t xml:space="preserve">评标工作程序</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（1）评标委员会负责具体评标事务，并独立履行下列职责：</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①审查、评价投标文件是否符合招标文件的商务、技术等实质性要求；</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②要求投标人对投标文件有关事项作出澄清或者说明；</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③对投标文件进行比较和评价（对商务、技术及其他内容的比较和评价结束前，评标委员会不得比较和评价投标报价）；</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④确定中标候选人名单，以及根据采购人授权直接确定中标人；</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⑤向采购人、代理机构或者有关部门报告评标中发现的违法行为；</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⑥编写评标报告。</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（2）评标委员会对符合资格的投标人的投标文件进行符合性审查，以确定其是否满足招标文件的实质性要求。</w:t>
      </w:r>
      <w:r>
        <w:rPr>
          <w:rFonts w:hint="eastAsia" w:ascii="宋体" w:hAnsi="宋体" w:eastAsia="宋体" w:cs="宋体"/>
          <w:color w:val="000000"/>
          <w:sz w:val="24"/>
          <w:szCs w:val="24"/>
          <w:highlight w:val="none"/>
        </w:rPr>
      </w:r>
      <w:r/>
    </w:p>
    <w:p>
      <w:pPr>
        <w:pStyle w:val="813"/>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符合性检查</w:t>
      </w:r>
      <w:r>
        <w:rPr>
          <w:rFonts w:hint="eastAsia" w:ascii="宋体" w:hAnsi="宋体" w:eastAsia="宋体" w:cs="宋体"/>
          <w:color w:val="000000"/>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rPr>
          <w:rFonts w:hint="eastAsia" w:ascii="宋体" w:hAnsi="宋体" w:eastAsia="宋体" w:cs="宋体"/>
          <w:color w:val="000000"/>
          <w:sz w:val="24"/>
          <w:szCs w:val="24"/>
          <w:highlight w:val="none"/>
        </w:rPr>
      </w:r>
      <w:r/>
    </w:p>
    <w:p>
      <w:pPr>
        <w:pStyle w:val="813"/>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所谓重大偏离或保留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指与招标文件规定的主要技术指标或重要的商务条款或除上述以外的多项指标要求存在负偏离，或者在实质上与招标文件不一致，而且限制了合同中采购人的权利或供应商的义务，保留或给予纠正这些偏离的机会将会对其他实质性响应要求的供应商的竞争地位产生不公正的影响。重大偏离的认定需经过评标委员会2/3及以上成员的认定。</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评标委员会决定投标文件的响应性仅基于投标文件本身的内容，而不寻求外部证据。</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评标委员会将拒绝被确定为非实质性响应的投标人，投标人不能通过修正或撤销不符之处而使其投标成为实质性响应的投标。</w:t>
      </w:r>
      <w:r>
        <w:rPr>
          <w:rFonts w:hint="eastAsia" w:ascii="宋体" w:hAnsi="宋体" w:eastAsia="宋体" w:cs="宋体"/>
          <w:color w:val="000000"/>
          <w:sz w:val="24"/>
          <w:szCs w:val="24"/>
          <w:highlight w:val="none"/>
        </w:rPr>
      </w:r>
      <w:r/>
    </w:p>
    <w:p>
      <w:pPr>
        <w:pStyle w:val="813"/>
        <w:numPr>
          <w:ilvl w:val="0"/>
          <w:numId w:val="0"/>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投标文件的澄清</w:t>
      </w:r>
      <w:r>
        <w:rPr>
          <w:rFonts w:hint="eastAsia" w:ascii="宋体" w:hAnsi="宋体" w:eastAsia="宋体" w:cs="宋体"/>
          <w:color w:val="000000"/>
          <w:sz w:val="24"/>
          <w:szCs w:val="24"/>
          <w:highlight w:val="none"/>
        </w:rPr>
      </w:r>
      <w:r/>
    </w:p>
    <w:p>
      <w:pPr>
        <w:pStyle w:val="813"/>
        <w:numPr>
          <w:ilvl w:val="0"/>
          <w:numId w:val="0"/>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lang w:val="en-US" w:eastAsia="zh-CN"/>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接到评委会澄清、说明和补正要求的投标人如未按规定</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出澄清、说明和补正，其风险由投标人自行承担。</w:t>
      </w:r>
      <w:r>
        <w:rPr>
          <w:rFonts w:hint="eastAsia" w:ascii="宋体" w:hAnsi="宋体" w:eastAsia="宋体" w:cs="宋体"/>
          <w:color w:val="000000"/>
          <w:sz w:val="24"/>
          <w:szCs w:val="24"/>
          <w:highlight w:val="none"/>
          <w:lang w:eastAsia="zh-CN"/>
        </w:rPr>
      </w:r>
      <w:r/>
    </w:p>
    <w:p>
      <w:pPr>
        <w:pStyle w:val="1071"/>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23.5政府采购异常低价审查</w:t>
      </w:r>
      <w:r>
        <w:rPr>
          <w:rFonts w:hint="eastAsia" w:ascii="宋体" w:hAnsi="宋体" w:eastAsia="宋体" w:cs="宋体"/>
          <w:color w:val="000000"/>
          <w:highlight w:val="none"/>
          <w:lang w:val="en-US" w:eastAsia="zh-CN"/>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（一）政府采购评审中出现下列情形之一的，评审委员会应当启动异常低价投标审查程序：</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1.投标报价低于全部通过符合性审查供应商投标报价平均值</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%的，即投标报价&lt;全部通过符合性审查供应商投标报价平均值×</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2.投标报价低于通过符合性审查的次低报价供应商投标报价</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%的，即投标报价&lt;通过符合性审查的次低报价供应商投标报价×</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3.投标报价低于采购项目最高限价</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%的，即投标报价&lt;采购项目最高限价×</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rPr>
      </w:r>
      <w:r/>
    </w:p>
    <w:p>
      <w:pPr>
        <w:pStyle w:val="1071"/>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评审委员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ascii="宋体" w:hAnsi="宋体" w:eastAsia="宋体" w:cs="宋体"/>
          <w:color w:val="000000"/>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评标过程的保密</w:t>
      </w:r>
      <w:r>
        <w:rPr>
          <w:rFonts w:hint="eastAsia" w:ascii="宋体" w:hAnsi="宋体" w:eastAsia="宋体" w:cs="宋体"/>
          <w:color w:val="000000"/>
          <w:sz w:val="24"/>
          <w:szCs w:val="24"/>
          <w:highlight w:val="none"/>
        </w:rPr>
      </w:r>
      <w:r/>
    </w:p>
    <w:p>
      <w:pPr>
        <w:pStyle w:val="813"/>
        <w:ind w:left="0" w:firstLine="480"/>
        <w:jc w:val="left"/>
        <w:pageBreakBefore w:val="0"/>
        <w:spacing w:line="360" w:lineRule="auto"/>
        <w:widowControl w:val="off"/>
        <w:rPr>
          <w:rFonts w:hint="eastAsia" w:ascii="宋体" w:hAnsi="宋体" w:eastAsia="宋体" w:cs="宋体"/>
          <w:bCs/>
          <w:i w:val="0"/>
          <w:iCs w:val="0"/>
          <w:color w:val="000000"/>
          <w:sz w:val="24"/>
          <w:szCs w:val="21"/>
          <w:highlight w:val="none"/>
        </w:rPr>
      </w:pPr>
      <w:r>
        <w:rPr>
          <w:rFonts w:hint="eastAsia" w:ascii="宋体" w:hAnsi="宋体" w:eastAsia="宋体" w:cs="宋体"/>
          <w:i w:val="0"/>
          <w:iCs w:val="0"/>
          <w:color w:val="000000"/>
          <w:sz w:val="24"/>
          <w:szCs w:val="21"/>
          <w:highlight w:val="none"/>
          <w:lang w:val="en-US" w:eastAsia="zh-CN"/>
        </w:rPr>
        <w:t xml:space="preserve">23.6.1</w:t>
      </w:r>
      <w:r>
        <w:rPr>
          <w:rFonts w:hint="eastAsia" w:ascii="宋体" w:hAnsi="宋体" w:eastAsia="宋体" w:cs="宋体"/>
          <w:bCs/>
          <w:i w:val="0"/>
          <w:iCs w:val="0"/>
          <w:color w:val="000000"/>
          <w:sz w:val="24"/>
          <w:szCs w:val="21"/>
          <w:highlight w:val="none"/>
        </w:rPr>
        <w:t xml:space="preserve">凡是与审查、澄清、评价和比较投标的有关资料以及授标建议等，采购人、评委、</w:t>
      </w:r>
      <w:r>
        <w:rPr>
          <w:rFonts w:hint="eastAsia" w:ascii="宋体" w:hAnsi="宋体" w:eastAsia="宋体" w:cs="宋体"/>
          <w:bCs/>
          <w:i w:val="0"/>
          <w:iCs w:val="0"/>
          <w:color w:val="000000"/>
          <w:sz w:val="24"/>
          <w:szCs w:val="21"/>
          <w:highlight w:val="none"/>
          <w:lang w:eastAsia="zh-CN"/>
        </w:rPr>
        <w:t xml:space="preserve">采购代理机构</w:t>
      </w:r>
      <w:r>
        <w:rPr>
          <w:rFonts w:hint="eastAsia" w:ascii="宋体" w:hAnsi="宋体" w:eastAsia="宋体" w:cs="宋体"/>
          <w:bCs/>
          <w:i w:val="0"/>
          <w:iCs w:val="0"/>
          <w:color w:val="000000"/>
          <w:sz w:val="24"/>
          <w:szCs w:val="21"/>
          <w:highlight w:val="none"/>
        </w:rPr>
        <w:t xml:space="preserve">均不得向投标人或与评标无关的其他人员透露。</w:t>
      </w:r>
      <w:r>
        <w:rPr>
          <w:rFonts w:hint="eastAsia" w:ascii="宋体" w:hAnsi="宋体" w:eastAsia="宋体" w:cs="宋体"/>
          <w:bCs/>
          <w:i w:val="0"/>
          <w:iCs w:val="0"/>
          <w:color w:val="000000"/>
          <w:sz w:val="24"/>
          <w:szCs w:val="21"/>
          <w:highlight w:val="none"/>
        </w:rPr>
      </w:r>
      <w:r/>
    </w:p>
    <w:p>
      <w:pPr>
        <w:pStyle w:val="813"/>
        <w:ind w:left="0" w:firstLine="480"/>
        <w:jc w:val="left"/>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1"/>
          <w:highlight w:val="none"/>
          <w:lang w:val="en-US" w:eastAsia="zh-CN"/>
        </w:rPr>
        <w:t xml:space="preserve">23.6</w:t>
      </w:r>
      <w:r>
        <w:rPr>
          <w:rFonts w:hint="eastAsia" w:ascii="宋体" w:hAnsi="宋体" w:eastAsia="宋体" w:cs="宋体"/>
          <w:i w:val="0"/>
          <w:iCs w:val="0"/>
          <w:color w:val="000000"/>
          <w:sz w:val="24"/>
          <w:szCs w:val="21"/>
          <w:highlight w:val="none"/>
        </w:rPr>
        <w:t xml:space="preserve">.2</w:t>
      </w:r>
      <w:r>
        <w:rPr>
          <w:rFonts w:hint="eastAsia" w:ascii="宋体" w:hAnsi="宋体" w:eastAsia="宋体" w:cs="宋体"/>
          <w:i w:val="0"/>
          <w:iCs w:val="0"/>
          <w:color w:val="000000"/>
          <w:sz w:val="24"/>
          <w:szCs w:val="24"/>
          <w:highlight w:val="none"/>
        </w:rPr>
        <w:t xml:space="preserve">在评标过程中，投标人不得以任何行为影响评标过程，否则其投标文件将被作为无效投标文件。</w:t>
      </w:r>
      <w:r>
        <w:rPr>
          <w:rFonts w:hint="eastAsia" w:ascii="宋体" w:hAnsi="宋体" w:eastAsia="宋体" w:cs="宋体"/>
          <w:i w:val="0"/>
          <w:iCs w:val="0"/>
          <w:color w:val="000000"/>
          <w:sz w:val="24"/>
          <w:szCs w:val="24"/>
          <w:highlight w:val="none"/>
        </w:rPr>
      </w:r>
      <w:r/>
    </w:p>
    <w:p>
      <w:pPr>
        <w:pStyle w:val="813"/>
        <w:ind w:left="0" w:firstLine="480"/>
        <w:jc w:val="left"/>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23.6</w:t>
      </w:r>
      <w:r>
        <w:rPr>
          <w:rFonts w:hint="eastAsia" w:ascii="宋体" w:hAnsi="宋体" w:eastAsia="宋体" w:cs="宋体"/>
          <w:i w:val="0"/>
          <w:iCs w:val="0"/>
          <w:color w:val="000000"/>
          <w:sz w:val="24"/>
          <w:szCs w:val="24"/>
          <w:highlight w:val="none"/>
        </w:rPr>
        <w:t xml:space="preserve">.3 </w:t>
      </w:r>
      <w:r>
        <w:rPr>
          <w:rFonts w:hint="eastAsia" w:ascii="宋体" w:hAnsi="宋体" w:eastAsia="宋体" w:cs="宋体"/>
          <w:i w:val="0"/>
          <w:iCs w:val="0"/>
          <w:color w:val="000000"/>
          <w:sz w:val="24"/>
          <w:szCs w:val="24"/>
          <w:highlight w:val="none"/>
          <w:lang w:eastAsia="zh-CN"/>
        </w:rPr>
        <w:t xml:space="preserve">采购代理机构</w:t>
      </w:r>
      <w:r>
        <w:rPr>
          <w:rFonts w:hint="eastAsia" w:ascii="宋体" w:hAnsi="宋体" w:eastAsia="宋体" w:cs="宋体"/>
          <w:i w:val="0"/>
          <w:iCs w:val="0"/>
          <w:color w:val="000000"/>
          <w:sz w:val="24"/>
          <w:szCs w:val="24"/>
          <w:highlight w:val="none"/>
        </w:rPr>
        <w:t xml:space="preserve">和评标委员会不向未中标的投标人解释未中标原因，也不公布评标过程中的相关细节。</w:t>
      </w:r>
      <w:r>
        <w:rPr>
          <w:rFonts w:hint="eastAsia" w:ascii="宋体" w:hAnsi="宋体" w:eastAsia="宋体" w:cs="宋体"/>
          <w:i w:val="0"/>
          <w:iCs w:val="0"/>
          <w:color w:val="000000"/>
          <w:sz w:val="24"/>
          <w:szCs w:val="24"/>
          <w:highlight w:val="none"/>
        </w:rPr>
      </w:r>
      <w:r/>
    </w:p>
    <w:p>
      <w:pPr>
        <w:pStyle w:val="813"/>
        <w:ind w:lef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23.6</w:t>
      </w:r>
      <w:r>
        <w:rPr>
          <w:rFonts w:hint="eastAsia" w:ascii="宋体" w:hAnsi="宋体" w:eastAsia="宋体" w:cs="宋体"/>
          <w:i w:val="0"/>
          <w:iCs w:val="0"/>
          <w:color w:val="000000"/>
          <w:sz w:val="24"/>
          <w:szCs w:val="24"/>
          <w:highlight w:val="none"/>
        </w:rPr>
        <w:t xml:space="preserve">.4 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投标文件报价出现前后不一致的，按照下列规定修正：</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同时出现两种以上不一致的，按照前款规定的顺序修正。修正后的报价按照政府采购有关规定经投标人确认后产生约束力，投标人不确认的，其投标无效。</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25.投标人有下列情况之一的，投标无效：</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（1）未按照招标文件的规定提交投标保证金的；</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（2）投标文件未按招标文件要求编制、签署、盖章的；</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（3）不具备招标文件中规定的资格要求的；</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（4）报价超过招标文件中规定的预算金额或者最高限价的；</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（5）投标文件含有采购人不能接受的附加条件的；</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（6）未按招标文件要求提供电子投标文件或者电子投标文件未能解密（指投标人自身原因）且按照招标文件明确的投标文件解密失败后补救方案（仅现场开标适用）补救不成功的；</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（7）投标人提交的电子投标文件、投标文件备份U盘（仅现场开标适用）均因其自身原因出现问题导致无法电子评标的；</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（8）法律、法规和招标文件规定的其他无效情形。</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26.有下列情形之一的，视为投标人串通投标，其投标无效：</w:t>
      </w:r>
      <w:r>
        <w:rPr>
          <w:rFonts w:hint="eastAsia" w:ascii="宋体" w:hAnsi="宋体" w:eastAsia="宋体" w:cs="宋体"/>
          <w:b/>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（1）不同投标人的投标文件由同一单位或者个人编制；</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（2）不同投标人委托同一单位或者个人办理投标事宜；</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（3）不同投标人的投标文件载明的项目管理成员或者联系人员为同一人；</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（4）不同投标人的投标文件异常一致或者投标报价呈规律性差异；</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（5）不同投标人的投标文件相互混装；</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（6）不同投标人的投标保证金从同一单位或者个人的账户转出。</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27.在招标采购中，出现下列情形之一的，应予废标</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（1）符合专业条件的供应商或者对招标文件作实质响应的供应商不足3家的；</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（3）投标人的报价均超过了采购预算（最高限价），采购人不能支付的；</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（4）因重大变故，采购任务取消的。</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28.评标原则、评标办法</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28.1评标原则</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评标办法</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详见第七章“评标办法”。</w:t>
      </w:r>
      <w:r>
        <w:rPr>
          <w:rFonts w:hint="eastAsia" w:ascii="宋体" w:hAnsi="宋体" w:eastAsia="宋体" w:cs="宋体"/>
          <w:color w:val="000000"/>
          <w:sz w:val="24"/>
          <w:szCs w:val="24"/>
          <w:highlight w:val="none"/>
        </w:rPr>
      </w:r>
      <w:r/>
    </w:p>
    <w:p>
      <w:pPr>
        <w:pStyle w:val="813"/>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六、中标结果</w:t>
      </w:r>
      <w:r>
        <w:rPr>
          <w:rFonts w:hint="eastAsia" w:ascii="宋体" w:hAnsi="宋体" w:eastAsia="宋体" w:cs="宋体"/>
          <w:b/>
          <w:color w:val="000000"/>
          <w:sz w:val="28"/>
          <w:szCs w:val="20"/>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 中标人的确定</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评标委员会按照评审得分由高到低顺序推荐3名中标候选人。</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 根据采购人的授权，由评标委员会直接确定排名第一的中标候选人为中标人。</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 中标通知书</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中标人确定后，中标结果由采购代理机构公告，中标公告期限为1个工作日。</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在公告中标结果的同时，由采购代理机构向中标人发出中标通知书，中标供应商在领取中标通知书时，需提供五份与电子投标文件一致的纸质打印投标文件；对未通过资格审查的投标人，应当告知其未通过的原因；采用综合评分法评审的，还应当告知未中标人本人的评审得分与排序。</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采购代理机构无义务向未中标投标人解释落标原因和退回投标文件。</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签订合同</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 中标人因不可抗力或者自身原因不能履行政府采购合同的，按政府采购有关法律法规执行。</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履约验收</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采购人组织对供应商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 验收合格的项目，采购人将根据采购合同的约定及时向供应商支付采购资金、退还履约保证金。验收不合格的项目，供应商须承担由此发生的一切损失和费用，并接受相应的处理。采购合同的履行、违约责任和解决争议的方式等适用《中华人民共和国民法典》。供应商在履约过程中有政府采购法律法规规定的违法违规情形的，采购人应当及时报告同级财政部门。</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中标人可自愿使用履约保函（保险）代替交纳履约保证金，详情请见《关于在全省政府采购领域推行电子履约保函（保险）的通知》（苏财购〔2023〕150号）规定。</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政府采购履约资金扶持政策</w:t>
      </w:r>
      <w:r>
        <w:rPr>
          <w:rFonts w:hint="eastAsia" w:ascii="宋体" w:hAnsi="宋体" w:eastAsia="宋体" w:cs="宋体"/>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中标人可凭政府采购合同办理融资贷款，详情请见江苏政府采购网“政采贷”专栏。 </w:t>
      </w:r>
      <w:r>
        <w:rPr>
          <w:rFonts w:hint="eastAsia" w:ascii="宋体" w:hAnsi="宋体" w:eastAsia="宋体" w:cs="宋体"/>
          <w:color w:val="000000"/>
          <w:sz w:val="24"/>
          <w:szCs w:val="24"/>
          <w:highlight w:val="none"/>
        </w:rPr>
      </w:r>
      <w:r/>
    </w:p>
    <w:p>
      <w:pPr>
        <w:pStyle w:val="813"/>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七、其他事项</w:t>
      </w:r>
      <w:r>
        <w:rPr>
          <w:rFonts w:hint="eastAsia" w:ascii="宋体" w:hAnsi="宋体" w:eastAsia="宋体" w:cs="宋体"/>
          <w:b/>
          <w:color w:val="000000"/>
          <w:sz w:val="28"/>
          <w:szCs w:val="20"/>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采购代理服务费</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34.1本项目的招标代理服务费按</w:t>
      </w:r>
      <w:r>
        <w:rPr>
          <w:rFonts w:hint="eastAsia" w:ascii="宋体" w:hAnsi="宋体" w:eastAsia="宋体" w:cs="宋体"/>
          <w:color w:val="000000"/>
          <w:sz w:val="24"/>
          <w:szCs w:val="24"/>
          <w:highlight w:val="none"/>
          <w:lang w:val="en-US" w:eastAsia="zh-CN"/>
        </w:rPr>
        <w:t xml:space="preserve">计价招办【2002】1980</w:t>
      </w:r>
      <w:r>
        <w:rPr>
          <w:rFonts w:hint="eastAsia" w:ascii="宋体" w:hAnsi="宋体" w:eastAsia="宋体" w:cs="宋体"/>
          <w:color w:val="000000"/>
          <w:sz w:val="24"/>
          <w:szCs w:val="24"/>
          <w:highlight w:val="none"/>
        </w:rPr>
        <w:t xml:space="preserve">号文规定的</w:t>
      </w: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%收取费用，由中标人在领取中标通知书时一次性支付；以上投标单位须将此部分费用综合考虑在投标报价中，不得单列。评审费按实际发生计取由招标人支付。</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解释权</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 本招标文件根据《中华人民共和国政府采购法》《中华人民共和国政府采购法实施条例》《政府采购货物和服务招标投标管理办法》及相关法律法规编制，解释权归采购代理机构。</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有关事宜</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 所有与本招标文件有关的函电和通讯地址见第一章“投标邀请”。</w:t>
      </w:r>
      <w:r>
        <w:rPr>
          <w:rFonts w:hint="eastAsia" w:ascii="宋体" w:hAnsi="宋体" w:eastAsia="宋体" w:cs="宋体"/>
          <w:color w:val="000000"/>
          <w:sz w:val="24"/>
          <w:szCs w:val="24"/>
          <w:highlight w:val="none"/>
        </w:rPr>
      </w:r>
      <w:r/>
    </w:p>
    <w:p>
      <w:pPr>
        <w:pStyle w:val="813"/>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八、政策功能</w:t>
      </w:r>
      <w:r>
        <w:rPr>
          <w:rFonts w:hint="eastAsia" w:ascii="宋体" w:hAnsi="宋体" w:eastAsia="宋体" w:cs="宋体"/>
          <w:b/>
          <w:color w:val="000000"/>
          <w:sz w:val="28"/>
          <w:szCs w:val="20"/>
          <w:highlight w:val="none"/>
        </w:rPr>
      </w:r>
      <w:r/>
    </w:p>
    <w:p>
      <w:pPr>
        <w:pStyle w:val="813"/>
        <w:ind w:firstLine="480"/>
        <w:jc w:val="left"/>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37.本项目执行财政部、工业和信息化部关于印发《政府采购促进中小企业发展管理办法》的通知（财库[2020]46号），本项目专门面向中小企业采购。</w:t>
      </w:r>
      <w:r>
        <w:rPr>
          <w:rFonts w:hint="eastAsia" w:ascii="宋体" w:hAnsi="宋体" w:eastAsia="宋体" w:cs="宋体"/>
          <w:color w:val="000000"/>
          <w:sz w:val="24"/>
          <w:highlight w:val="none"/>
        </w:rPr>
      </w:r>
      <w:r/>
    </w:p>
    <w:p>
      <w:pPr>
        <w:pStyle w:val="813"/>
        <w:ind w:firstLine="480"/>
        <w:jc w:val="left"/>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根据财政部、工业和信息化部关于印发《政府采购促进中小企业发展管理办 法》的通知（财库〔2020〕46 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813"/>
        <w:ind w:firstLine="480"/>
        <w:jc w:val="left"/>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rPr>
          <w:rFonts w:hint="eastAsia" w:ascii="宋体" w:hAnsi="宋体" w:eastAsia="宋体" w:cs="宋体"/>
          <w:color w:val="000000"/>
          <w:sz w:val="24"/>
          <w:highlight w:val="none"/>
        </w:rPr>
      </w:r>
      <w:r/>
    </w:p>
    <w:p>
      <w:pPr>
        <w:pStyle w:val="813"/>
        <w:ind w:firstLine="480"/>
        <w:jc w:val="left"/>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（2）参加本项目政府采购活动的供应商应当提供的材料：</w:t>
      </w:r>
      <w:r>
        <w:rPr>
          <w:rFonts w:hint="eastAsia" w:ascii="宋体" w:hAnsi="宋体" w:eastAsia="宋体" w:cs="宋体"/>
          <w:color w:val="000000"/>
          <w:sz w:val="24"/>
          <w:highlight w:val="none"/>
        </w:rPr>
      </w:r>
      <w:r/>
    </w:p>
    <w:p>
      <w:pPr>
        <w:pStyle w:val="813"/>
        <w:ind w:firstLine="480"/>
        <w:jc w:val="left"/>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供应商提供的货物全部由小微企业制造的，提供《中小微企业声明函》（详见“投标文件格式”）。</w:t>
      </w:r>
      <w:r>
        <w:rPr>
          <w:rFonts w:hint="eastAsia" w:ascii="宋体" w:hAnsi="宋体" w:eastAsia="宋体" w:cs="宋体"/>
          <w:color w:val="000000"/>
          <w:sz w:val="24"/>
          <w:highlight w:val="none"/>
        </w:rPr>
      </w:r>
      <w:r/>
    </w:p>
    <w:p>
      <w:pPr>
        <w:pStyle w:val="813"/>
        <w:ind w:firstLine="480"/>
        <w:jc w:val="left"/>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为残疾人福利性单位且提供的货物全部由残疾人福利性单位制造的，符合财库〔2017〕141号文件规定条件的残疾人福利性单位视同小型、微型企业，提供《残疾人福利性单位声明函》（详见“投标文件格式”）。</w:t>
      </w:r>
      <w:r>
        <w:rPr>
          <w:rFonts w:hint="eastAsia" w:ascii="宋体" w:hAnsi="宋体" w:eastAsia="宋体" w:cs="宋体"/>
          <w:color w:val="000000"/>
          <w:sz w:val="24"/>
          <w:highlight w:val="none"/>
        </w:rPr>
      </w:r>
      <w:r/>
    </w:p>
    <w:p>
      <w:pPr>
        <w:pStyle w:val="813"/>
        <w:ind w:firstLine="480"/>
        <w:jc w:val="left"/>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供应商为监狱企业或提供的货物由监狱企业制造的，提供省级以上监狱管理局、戒毒管理局（含新疆生产建设兵团）出具的属于监狱企业的证明文件。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813"/>
        <w:ind w:firstLine="48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根据《财</w:t>
      </w:r>
      <w:r>
        <w:rPr>
          <w:rFonts w:hint="eastAsia" w:ascii="宋体" w:hAnsi="宋体" w:eastAsia="宋体" w:cs="宋体"/>
          <w:color w:val="000000"/>
          <w:sz w:val="24"/>
          <w:highlight w:val="none"/>
        </w:rPr>
        <w:t xml:space="preserve">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813"/>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九、支持绿色发展</w:t>
      </w:r>
      <w:r>
        <w:rPr>
          <w:rFonts w:hint="eastAsia" w:ascii="宋体" w:hAnsi="宋体" w:eastAsia="宋体" w:cs="宋体"/>
          <w:b/>
          <w:color w:val="000000"/>
          <w:sz w:val="28"/>
          <w:szCs w:val="20"/>
          <w:highlight w:val="none"/>
        </w:rPr>
      </w:r>
      <w:r/>
    </w:p>
    <w:p>
      <w:pPr>
        <w:pStyle w:val="81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39.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宋体"/>
          <w:color w:val="000000"/>
          <w:sz w:val="24"/>
          <w:szCs w:val="24"/>
          <w:highlight w:val="none"/>
        </w:rPr>
      </w:r>
      <w:r/>
    </w:p>
    <w:p>
      <w:pPr>
        <w:pStyle w:val="813"/>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40.本项目执行《关于印发环境标志产品政府采购品目清单的通知》 (财库 (2019) 18号)、《关于印发节能产品政府采购品目清单的通知》 (财库 (2019) 19 号) 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szCs w:val="24"/>
          <w:highlight w:val="none"/>
          <w:lang w:val="en-US" w:eastAsia="zh-CN" w:bidi="ar-SA"/>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为推广使用低挥发性有机化合物产品，根据《关于加强政府绿色采购有关事项的通知》要求，在政府采购项目中涉及涂料、胶黏剂、油墨、清洗剂等挥发性有机物产品的，属于强制性标准的，供应商应执行国家和江苏省VOCs含量限制标准。</w:t>
      </w:r>
      <w:r>
        <w:rPr>
          <w:rFonts w:hint="eastAsia" w:ascii="宋体" w:hAnsi="宋体" w:eastAsia="宋体" w:cs="宋体"/>
          <w:color w:val="000000"/>
          <w:sz w:val="24"/>
          <w:szCs w:val="24"/>
          <w:highlight w:val="none"/>
        </w:rPr>
      </w:r>
      <w:r/>
    </w:p>
    <w:p>
      <w:pPr>
        <w:pStyle w:val="813"/>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lang w:val="en-US" w:eastAsia="zh-CN"/>
        </w:rPr>
        <w:t xml:space="preserve">十、</w:t>
      </w:r>
      <w:r>
        <w:rPr>
          <w:rFonts w:hint="eastAsia" w:ascii="宋体" w:hAnsi="宋体" w:eastAsia="宋体" w:cs="宋体"/>
          <w:b/>
          <w:color w:val="000000"/>
          <w:sz w:val="28"/>
          <w:szCs w:val="20"/>
          <w:highlight w:val="none"/>
        </w:rPr>
        <w:t xml:space="preserve">政府采购需求标准</w:t>
      </w:r>
      <w:r>
        <w:rPr>
          <w:rFonts w:hint="eastAsia" w:ascii="宋体" w:hAnsi="宋体" w:eastAsia="宋体" w:cs="宋体"/>
          <w:b/>
          <w:color w:val="000000"/>
          <w:sz w:val="28"/>
          <w:szCs w:val="20"/>
          <w:highlight w:val="none"/>
        </w:rPr>
      </w:r>
      <w:r/>
    </w:p>
    <w:p>
      <w:pPr>
        <w:pStyle w:val="813"/>
        <w:ind w:firstLine="480"/>
        <w:jc w:val="left"/>
        <w:spacing w:line="360" w:lineRule="auto"/>
        <w:rPr>
          <w:rFonts w:hint="eastAsia" w:ascii="宋体" w:hAnsi="宋体" w:eastAsia="宋体" w:cs="宋体"/>
          <w:color w:val="000000"/>
          <w:sz w:val="24"/>
          <w:szCs w:val="24"/>
          <w:highlight w:val="none"/>
        </w:rPr>
      </w:pPr>
      <w:r/>
      <w:bookmarkStart w:id="9" w:name="_Toc17527"/>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本项目执行《绿色数据中心政府采购需求</w:t>
      </w:r>
      <w:r>
        <w:rPr>
          <w:rFonts w:hint="eastAsia" w:ascii="宋体" w:hAnsi="宋体" w:eastAsia="宋体" w:cs="宋体"/>
          <w:color w:val="000000"/>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9"/>
      <w:r>
        <w:rPr>
          <w:rFonts w:hint="eastAsia" w:ascii="宋体" w:hAnsi="宋体" w:eastAsia="宋体" w:cs="宋体"/>
          <w:color w:val="000000"/>
          <w:sz w:val="24"/>
          <w:szCs w:val="24"/>
          <w:highlight w:val="none"/>
        </w:rPr>
      </w:r>
      <w:r/>
    </w:p>
    <w:p>
      <w:pPr>
        <w:pStyle w:val="813"/>
        <w:keepNext/>
        <w:spacing w:line="360" w:lineRule="auto"/>
        <w:tabs>
          <w:tab w:val="left" w:pos="1021" w:leader="none"/>
        </w:tabs>
        <w:rPr>
          <w:rFonts w:hint="eastAsia" w:ascii="宋体" w:hAnsi="宋体" w:eastAsia="宋体" w:cs="宋体"/>
          <w:b/>
          <w:color w:val="000000"/>
          <w:sz w:val="28"/>
          <w:szCs w:val="20"/>
          <w:highlight w:val="none"/>
          <w:lang w:val="en-US" w:eastAsia="zh-CN"/>
        </w:rPr>
        <w:outlineLvl w:val="1"/>
      </w:pPr>
      <w:r>
        <w:rPr>
          <w:rFonts w:hint="eastAsia" w:ascii="宋体" w:hAnsi="宋体" w:eastAsia="宋体" w:cs="宋体"/>
          <w:b/>
          <w:color w:val="000000"/>
          <w:sz w:val="28"/>
          <w:szCs w:val="20"/>
          <w:highlight w:val="none"/>
          <w:lang w:val="en-US" w:eastAsia="zh-CN"/>
        </w:rPr>
        <w:t xml:space="preserve">十一、采购本国产品的支持政策</w:t>
      </w:r>
      <w:r>
        <w:rPr>
          <w:rFonts w:hint="eastAsia" w:ascii="宋体" w:hAnsi="宋体" w:eastAsia="宋体" w:cs="宋体"/>
          <w:b/>
          <w:color w:val="000000"/>
          <w:sz w:val="28"/>
          <w:szCs w:val="20"/>
          <w:highlight w:val="none"/>
          <w:lang w:val="en-US" w:eastAsia="zh-CN"/>
        </w:rPr>
      </w:r>
      <w:r/>
    </w:p>
    <w:p>
      <w:pPr>
        <w:pStyle w:val="813"/>
        <w:ind w:left="0" w:firstLine="480"/>
        <w:jc w:val="both"/>
        <w:keepLines w:val="0"/>
        <w:keepNext w:val="0"/>
        <w:spacing w:before="0" w:beforeAutospacing="0" w:after="0" w:afterAutospacing="0" w:line="336" w:lineRule="auto"/>
        <w:widowControl w:val="off"/>
        <w:rPr>
          <w:rFonts w:ascii="Times New Roman" w:hAnsi="Times New Roman" w:eastAsia="宋体" w:cs="Times New Roman"/>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bidi="ar-SA"/>
        </w:rPr>
        <w:t xml:space="preserve">43.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ascii="Times New Roman" w:hAnsi="Times New Roman" w:eastAsia="宋体" w:cs="Times New Roman"/>
          <w:sz w:val="24"/>
          <w:szCs w:val="20"/>
          <w:lang w:val="en-US" w:eastAsia="zh-CN" w:bidi="ar-SA"/>
        </w:rPr>
      </w:r>
      <w:r/>
    </w:p>
    <w:p>
      <w:pPr>
        <w:pStyle w:val="813"/>
        <w:ind w:left="0" w:firstLine="480"/>
        <w:jc w:val="both"/>
        <w:keepLines w:val="0"/>
        <w:keepNext w:val="0"/>
        <w:spacing w:before="0" w:beforeAutospacing="0" w:after="0" w:afterAutospacing="0" w:line="336" w:lineRule="auto"/>
        <w:widowControl w:val="off"/>
        <w:rPr>
          <w:rFonts w:ascii="Times New Roman" w:hAnsi="Times New Roman" w:eastAsia="宋体" w:cs="Times New Roman"/>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bidi="ar-SA"/>
        </w:rPr>
        <w:t xml:space="preserve">44.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s="Times New Roman"/>
          <w:sz w:val="24"/>
          <w:szCs w:val="20"/>
          <w:lang w:val="en-US" w:eastAsia="zh-CN" w:bidi="ar-SA"/>
        </w:rPr>
      </w:r>
      <w:r/>
    </w:p>
    <w:p>
      <w:pPr>
        <w:pStyle w:val="813"/>
        <w:ind w:left="0" w:firstLine="480"/>
        <w:jc w:val="both"/>
        <w:keepLines w:val="0"/>
        <w:keepNext w:val="0"/>
        <w:spacing w:before="0" w:beforeAutospacing="0" w:after="0" w:afterAutospacing="0" w:line="336" w:lineRule="auto"/>
        <w:widowControl w:val="off"/>
        <w:rPr>
          <w:rFonts w:ascii="Times New Roman" w:hAnsi="Times New Roman" w:eastAsia="宋体" w:cs="Times New Roman"/>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bidi="ar-SA"/>
        </w:rPr>
        <w:t xml:space="preserve">45. 供应商需按照招标文件的要求提供《关于符合本国产品标准的声明函》（以下简称《声明函》），如不提供将不享受本国产品价格评审优惠。</w:t>
      </w:r>
      <w:r>
        <w:rPr>
          <w:rFonts w:ascii="Times New Roman" w:hAnsi="Times New Roman" w:eastAsia="宋体" w:cs="Times New Roman"/>
          <w:sz w:val="24"/>
          <w:szCs w:val="20"/>
          <w:lang w:val="en-US" w:eastAsia="zh-CN" w:bidi="ar-SA"/>
        </w:rPr>
      </w:r>
      <w:r/>
    </w:p>
    <w:p>
      <w:pPr>
        <w:pStyle w:val="813"/>
        <w:ind w:left="0" w:firstLine="480"/>
        <w:jc w:val="both"/>
        <w:keepLines w:val="0"/>
        <w:keepNext w:val="0"/>
        <w:spacing w:before="0" w:beforeAutospacing="0" w:after="0" w:afterAutospacing="0" w:line="336" w:lineRule="auto"/>
        <w:widowControl w:val="off"/>
        <w:rPr>
          <w:rFonts w:ascii="Times New Roman" w:hAnsi="Times New Roman" w:eastAsia="宋体" w:cs="Times New Roman"/>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bidi="ar-SA"/>
        </w:rPr>
        <w:t xml:space="preserve">46.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s="Times New Roman"/>
          <w:sz w:val="24"/>
          <w:szCs w:val="20"/>
          <w:lang w:val="en-US" w:eastAsia="zh-CN" w:bidi="ar-SA"/>
        </w:rPr>
      </w:r>
      <w:r/>
    </w:p>
    <w:p>
      <w:pPr>
        <w:pStyle w:val="813"/>
        <w:ind w:left="0" w:firstLine="480"/>
        <w:jc w:val="both"/>
        <w:keepLines w:val="0"/>
        <w:keepNext w:val="0"/>
        <w:spacing w:before="0" w:beforeAutospacing="0" w:after="0" w:afterAutospacing="0" w:line="336" w:lineRule="auto"/>
        <w:widowControl w:val="off"/>
        <w:rPr>
          <w:rFonts w:ascii="Times New Roman" w:hAnsi="Times New Roman" w:eastAsia="宋体" w:cs="Times New Roman"/>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bidi="ar-SA"/>
        </w:rPr>
        <w:t xml:space="preserve">47.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sz w:val="24"/>
          <w:szCs w:val="20"/>
          <w:lang w:val="en-US" w:eastAsia="zh-CN" w:bidi="ar-SA"/>
        </w:rPr>
      </w:r>
      <w:r/>
    </w:p>
    <w:p>
      <w:pPr>
        <w:pStyle w:val="813"/>
        <w:jc w:val="center"/>
        <w:keepLines/>
        <w:keepNext/>
        <w:spacing w:line="360" w:lineRule="auto"/>
        <w:rPr>
          <w:rFonts w:hint="eastAsia" w:ascii="宋体" w:hAnsi="宋体" w:eastAsia="宋体" w:cs="宋体"/>
          <w:b/>
          <w:color w:val="000000"/>
          <w:sz w:val="36"/>
          <w:szCs w:val="20"/>
          <w:highlight w:val="none"/>
        </w:rPr>
        <w:outlineLvl w:val="0"/>
      </w:pPr>
      <w:r>
        <w:rPr>
          <w:rFonts w:hint="eastAsia" w:ascii="宋体" w:hAnsi="宋体" w:eastAsia="宋体" w:cs="宋体"/>
          <w:color w:val="000000"/>
          <w:sz w:val="24"/>
          <w:szCs w:val="24"/>
          <w:shd w:val="clear" w:color="auto" w:fill="ffffff"/>
          <w:lang w:val="en-US" w:eastAsia="zh-CN" w:bidi="ar-SA"/>
        </w:rPr>
        <w:t xml:space="preserve">48. 政府采购中的本国产品标准及其他未尽事宜详见《国务院办公厅关于在政府采购中实施本国产品标准及相关政策的通知》（国办发〔2025〕34号）</w:t>
      </w:r>
      <w:r>
        <w:rPr>
          <w:rFonts w:hint="eastAsia" w:ascii="宋体" w:hAnsi="宋体" w:eastAsia="宋体" w:cs="宋体"/>
          <w:b/>
          <w:color w:val="000000"/>
          <w:sz w:val="36"/>
          <w:szCs w:val="20"/>
          <w:highlight w:val="none"/>
        </w:rPr>
        <w:br w:type="page" w:clear="all"/>
      </w:r>
      <w:bookmarkStart w:id="10" w:name="_Toc139967211"/>
      <w:r/>
      <w:bookmarkStart w:id="11" w:name="_Toc14026"/>
      <w:r/>
      <w:bookmarkStart w:id="12" w:name="_Toc513622228"/>
      <w:r/>
      <w:bookmarkStart w:id="13" w:name="_Toc139966427"/>
      <w:r>
        <w:rPr>
          <w:rFonts w:hint="eastAsia" w:ascii="宋体" w:hAnsi="宋体" w:eastAsia="宋体" w:cs="宋体"/>
          <w:color w:val="000000"/>
          <w:sz w:val="36"/>
          <w:szCs w:val="20"/>
          <w:highlight w:val="none"/>
        </w:rPr>
        <w:t xml:space="preserve">第三章  政府采购合同格式</w:t>
      </w:r>
      <w:bookmarkEnd w:id="10"/>
      <w:r/>
      <w:bookmarkEnd w:id="11"/>
      <w:r/>
      <w:bookmarkEnd w:id="12"/>
      <w:r/>
      <w:bookmarkEnd w:id="13"/>
      <w:r>
        <w:rPr>
          <w:rFonts w:hint="eastAsia" w:ascii="宋体" w:hAnsi="宋体" w:eastAsia="宋体" w:cs="宋体"/>
          <w:b/>
          <w:color w:val="000000"/>
          <w:sz w:val="36"/>
          <w:szCs w:val="20"/>
          <w:highlight w:val="none"/>
        </w:rPr>
      </w:r>
      <w:r/>
    </w:p>
    <w:p>
      <w:pPr>
        <w:pStyle w:val="813"/>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813"/>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813"/>
        <w:jc w:val="center"/>
        <w:spacing w:line="360" w:lineRule="auto"/>
        <w:rPr>
          <w:rFonts w:hint="eastAsia" w:ascii="宋体" w:hAnsi="宋体" w:eastAsia="宋体" w:cs="宋体"/>
          <w:b/>
          <w:bCs/>
          <w:color w:val="000000"/>
          <w:sz w:val="52"/>
          <w:szCs w:val="24"/>
          <w:highlight w:val="none"/>
        </w:rPr>
      </w:pPr>
      <w:r>
        <w:rPr>
          <w:rFonts w:hint="eastAsia" w:ascii="宋体" w:hAnsi="宋体" w:eastAsia="宋体" w:cs="宋体"/>
          <w:b/>
          <w:bCs/>
          <w:color w:val="000000"/>
          <w:sz w:val="52"/>
          <w:szCs w:val="24"/>
          <w:highlight w:val="none"/>
        </w:rPr>
        <w:t xml:space="preserve">连 云 港 市 政 府 采 购</w:t>
      </w:r>
      <w:r>
        <w:rPr>
          <w:rFonts w:hint="eastAsia" w:ascii="宋体" w:hAnsi="宋体" w:eastAsia="宋体" w:cs="宋体"/>
          <w:b/>
          <w:bCs/>
          <w:color w:val="000000"/>
          <w:sz w:val="52"/>
          <w:szCs w:val="24"/>
          <w:highlight w:val="none"/>
        </w:rPr>
      </w:r>
      <w:r/>
    </w:p>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ind w:firstLine="883"/>
        <w:jc w:val="center"/>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u w:val="single"/>
        </w:rPr>
        <w:t xml:space="preserve">                    </w:t>
      </w:r>
      <w:r>
        <w:rPr>
          <w:rFonts w:hint="eastAsia" w:ascii="宋体" w:hAnsi="宋体" w:eastAsia="宋体" w:cs="宋体"/>
          <w:b/>
          <w:bCs/>
          <w:color w:val="000000"/>
          <w:sz w:val="44"/>
          <w:szCs w:val="24"/>
          <w:highlight w:val="none"/>
        </w:rPr>
        <w:t xml:space="preserve">合同</w:t>
      </w:r>
      <w:r>
        <w:rPr>
          <w:rFonts w:hint="eastAsia" w:ascii="宋体" w:hAnsi="宋体" w:eastAsia="宋体" w:cs="宋体"/>
          <w:b/>
          <w:bCs/>
          <w:color w:val="000000"/>
          <w:sz w:val="44"/>
          <w:szCs w:val="24"/>
          <w:highlight w:val="none"/>
        </w:rPr>
      </w:r>
      <w:r/>
    </w:p>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ind w:firstLine="3507"/>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813"/>
        <w:ind w:firstLine="3507"/>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813"/>
        <w:ind w:firstLine="3507"/>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813"/>
        <w:ind w:firstLine="1802"/>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hint="eastAsia" w:ascii="宋体" w:hAnsi="宋体" w:eastAsia="宋体" w:cs="宋体"/>
          <w:b/>
          <w:bCs/>
          <w:color w:val="000000"/>
          <w:sz w:val="44"/>
          <w:szCs w:val="44"/>
          <w:highlight w:val="none"/>
        </w:rPr>
      </w:r>
      <w:r/>
    </w:p>
    <w:p>
      <w:pPr>
        <w:pStyle w:val="813"/>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844"/>
        <w:ind w:left="1470" w:right="1470"/>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813"/>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813"/>
        <w:ind w:firstLine="1758"/>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 xml:space="preserve">采购人：</w:t>
      </w:r>
      <w:r>
        <w:rPr>
          <w:rFonts w:hint="eastAsia" w:ascii="宋体" w:hAnsi="宋体" w:eastAsia="宋体" w:cs="宋体"/>
          <w:b/>
          <w:bCs/>
          <w:color w:val="000000"/>
          <w:sz w:val="44"/>
          <w:szCs w:val="24"/>
          <w:highlight w:val="none"/>
        </w:rPr>
      </w:r>
      <w:r/>
    </w:p>
    <w:p>
      <w:pPr>
        <w:pStyle w:val="813"/>
        <w:ind w:firstLine="1758"/>
        <w:spacing w:line="360" w:lineRule="auto"/>
        <w:rPr>
          <w:rFonts w:hint="eastAsia" w:ascii="宋体" w:hAnsi="宋体" w:eastAsia="宋体" w:cs="宋体"/>
          <w:color w:val="000000"/>
          <w:sz w:val="28"/>
          <w:szCs w:val="24"/>
          <w:highlight w:val="none"/>
        </w:rPr>
      </w:pPr>
      <w:r>
        <w:rPr>
          <w:rFonts w:hint="eastAsia" w:ascii="宋体" w:hAnsi="宋体" w:eastAsia="宋体" w:cs="宋体"/>
          <w:b/>
          <w:bCs/>
          <w:color w:val="000000"/>
          <w:sz w:val="44"/>
          <w:szCs w:val="24"/>
          <w:highlight w:val="none"/>
        </w:rPr>
        <w:t xml:space="preserve">中标人：</w:t>
      </w:r>
      <w:r>
        <w:rPr>
          <w:rFonts w:hint="eastAsia" w:ascii="宋体" w:hAnsi="宋体" w:eastAsia="宋体" w:cs="宋体"/>
          <w:color w:val="000000"/>
          <w:sz w:val="28"/>
          <w:szCs w:val="24"/>
          <w:highlight w:val="none"/>
        </w:rPr>
      </w:r>
      <w:r/>
    </w:p>
    <w:p>
      <w:pPr>
        <w:pStyle w:val="844"/>
        <w:ind w:left="1470" w:right="14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jc w:val="center"/>
        <w:spacing w:line="560" w:lineRule="exact"/>
        <w:rPr>
          <w:rFonts w:hint="eastAsia" w:ascii="宋体" w:hAnsi="宋体" w:eastAsia="宋体" w:cs="宋体"/>
          <w:b/>
          <w:color w:val="000000"/>
          <w:sz w:val="32"/>
          <w:szCs w:val="32"/>
          <w:highlight w:val="none"/>
        </w:rPr>
        <w:sectPr>
          <w:footerReference w:type="default" r:id="rId17"/>
          <w:footnotePr/>
          <w:endnotePr/>
          <w:type w:val="nextPage"/>
          <w:pgSz w:w="11906" w:h="16838" w:orient="portrait"/>
          <w:pgMar w:top="1134" w:right="1134" w:bottom="1134" w:left="1134" w:header="720" w:footer="720" w:gutter="0"/>
          <w:cols w:num="1" w:sep="0" w:space="1701" w:equalWidth="1"/>
          <w:docGrid w:linePitch="360"/>
        </w:sectPr>
      </w:pPr>
      <w:r>
        <w:rPr>
          <w:rFonts w:hint="eastAsia" w:ascii="宋体" w:hAnsi="宋体" w:eastAsia="宋体" w:cs="宋体"/>
          <w:b/>
          <w:color w:val="000000"/>
          <w:sz w:val="32"/>
          <w:szCs w:val="32"/>
          <w:highlight w:val="none"/>
        </w:rPr>
      </w:r>
      <w:r/>
    </w:p>
    <w:p>
      <w:pPr>
        <w:pStyle w:val="813"/>
        <w:ind w:firstLine="480"/>
        <w:jc w:val="left"/>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以下为成交后签订本项目合同的通用条款，成交供应商不得提出实质性的修改，关于专用条款将由采购人与成交供应商结合本项目具体情况协商后签订。</w:t>
      </w:r>
      <w:r>
        <w:rPr>
          <w:rFonts w:hint="eastAsia" w:ascii="宋体" w:hAnsi="宋体" w:eastAsia="宋体" w:cs="宋体"/>
          <w:bCs/>
          <w:color w:val="000000"/>
          <w:sz w:val="24"/>
          <w:szCs w:val="24"/>
          <w:highlight w:val="none"/>
        </w:rPr>
      </w:r>
      <w:r/>
    </w:p>
    <w:p>
      <w:pPr>
        <w:pStyle w:val="813"/>
        <w:jc w:val="left"/>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3"/>
        <w:jc w:val="center"/>
        <w:spacing w:line="560" w:lineRule="exact"/>
        <w:rPr>
          <w:rFonts w:hint="eastAsia" w:ascii="宋体" w:hAnsi="宋体" w:eastAsia="宋体" w:cs="宋体"/>
          <w:bCs/>
          <w:color w:val="000000"/>
          <w:sz w:val="24"/>
          <w:szCs w:val="24"/>
          <w:highlight w:val="none"/>
        </w:rPr>
      </w:pPr>
      <w:r>
        <w:rPr>
          <w:rFonts w:hint="eastAsia" w:ascii="宋体" w:hAnsi="宋体" w:eastAsia="宋体" w:cs="宋体"/>
          <w:b/>
          <w:color w:val="000000"/>
          <w:sz w:val="32"/>
          <w:szCs w:val="32"/>
          <w:highlight w:val="none"/>
        </w:rPr>
        <w:t xml:space="preserve">政府采购合同</w:t>
      </w:r>
      <w:r>
        <w:rPr>
          <w:rFonts w:hint="eastAsia" w:ascii="宋体" w:hAnsi="宋体" w:eastAsia="宋体" w:cs="宋体"/>
          <w:bCs/>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b/>
          <w:color w:val="000000"/>
          <w:sz w:val="24"/>
          <w:szCs w:val="24"/>
          <w:highlight w:val="none"/>
        </w:rPr>
        <w:t xml:space="preserve">连云港市环境卫生管理处</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乙方：_________</w:t>
      </w:r>
      <w:r>
        <w:rPr>
          <w:rFonts w:hint="eastAsia" w:ascii="宋体" w:hAnsi="宋体" w:eastAsia="宋体" w:cs="宋体"/>
          <w:color w:val="000000"/>
          <w:sz w:val="24"/>
          <w:szCs w:val="24"/>
          <w:highlight w:val="none"/>
          <w:lang w:eastAsia="zh-CN"/>
        </w:rPr>
      </w:r>
      <w:r/>
    </w:p>
    <w:p>
      <w:pPr>
        <w:pStyle w:val="813"/>
        <w:ind w:firstLine="480"/>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月</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日</w:t>
      </w:r>
      <w:r>
        <w:rPr>
          <w:rFonts w:hint="eastAsia" w:ascii="宋体" w:hAnsi="宋体" w:eastAsia="宋体" w:cs="宋体"/>
          <w:b/>
          <w:color w:val="000000"/>
          <w:sz w:val="24"/>
          <w:szCs w:val="24"/>
          <w:highlight w:val="none"/>
          <w:lang w:eastAsia="zh-CN"/>
        </w:rPr>
        <w:t xml:space="preserve">环管处渗滤液第三方运行</w:t>
      </w:r>
      <w:r>
        <w:rPr>
          <w:rFonts w:hint="eastAsia" w:ascii="宋体" w:hAnsi="宋体" w:eastAsia="宋体" w:cs="宋体"/>
          <w:color w:val="000000"/>
          <w:sz w:val="24"/>
          <w:szCs w:val="24"/>
          <w:highlight w:val="none"/>
        </w:rPr>
        <w:t xml:space="preserve">项目（标段编号：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公开招标</w:t>
      </w:r>
      <w:r>
        <w:rPr>
          <w:rFonts w:hint="eastAsia" w:ascii="宋体" w:hAnsi="宋体" w:eastAsia="宋体" w:cs="宋体"/>
          <w:color w:val="000000"/>
          <w:sz w:val="24"/>
          <w:szCs w:val="24"/>
          <w:highlight w:val="none"/>
        </w:rPr>
        <w:t xml:space="preserve">采购的结果，签订本合同。</w:t>
      </w:r>
      <w:r>
        <w:rPr>
          <w:rFonts w:hint="eastAsia" w:ascii="宋体" w:hAnsi="宋体" w:eastAsia="宋体" w:cs="宋体"/>
          <w:b/>
          <w:color w:val="000000"/>
          <w:sz w:val="24"/>
          <w:szCs w:val="24"/>
          <w:highlight w:val="none"/>
        </w:rPr>
      </w:r>
      <w:r/>
    </w:p>
    <w:p>
      <w:pPr>
        <w:pStyle w:val="813"/>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w:t>
      </w:r>
      <w:r>
        <w:rPr>
          <w:rFonts w:hint="eastAsia" w:ascii="宋体" w:hAnsi="宋体" w:eastAsia="宋体" w:cs="宋体"/>
          <w:b/>
          <w:color w:val="000000"/>
          <w:sz w:val="24"/>
          <w:szCs w:val="24"/>
          <w:highlight w:val="none"/>
        </w:rPr>
      </w:r>
      <w:r/>
    </w:p>
    <w:p>
      <w:pPr>
        <w:pStyle w:val="813"/>
        <w:ind w:firstLine="480"/>
        <w:jc w:val="left"/>
        <w:spacing w:line="560" w:lineRule="exac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1.1 服务内容：</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u w:val="single"/>
          <w:lang w:val="en-US" w:eastAsia="zh-CN" w:bidi="ar-SA"/>
        </w:rPr>
      </w:r>
      <w:r/>
    </w:p>
    <w:p>
      <w:pPr>
        <w:pStyle w:val="813"/>
        <w:ind w:firstLine="480"/>
        <w:jc w:val="left"/>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 服务要求：</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13"/>
        <w:ind w:firstLine="480"/>
        <w:jc w:val="left"/>
        <w:spacing w:line="560" w:lineRule="exac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1.3 服务标准：</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u w:val="single"/>
          <w:lang w:val="en-US" w:eastAsia="zh-CN" w:bidi="ar-SA"/>
        </w:rPr>
      </w:r>
      <w:r/>
    </w:p>
    <w:p>
      <w:pPr>
        <w:pStyle w:val="813"/>
        <w:ind w:firstLine="480"/>
        <w:jc w:val="left"/>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bidi="ar-SA"/>
        </w:rPr>
        <w:t xml:space="preserve">1.4 补充条款：</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u w:val="single"/>
        </w:rPr>
      </w:r>
      <w:r/>
    </w:p>
    <w:p>
      <w:pPr>
        <w:pStyle w:val="813"/>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本合同金额为（大写）：_________________元整（¥__________）人民币。</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宋体"/>
          <w:color w:val="000000"/>
          <w:sz w:val="24"/>
          <w:szCs w:val="24"/>
          <w:highlight w:val="none"/>
        </w:rPr>
      </w:r>
      <w:r/>
    </w:p>
    <w:p>
      <w:pPr>
        <w:pStyle w:val="813"/>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rPr>
          <w:rFonts w:hint="eastAsia" w:ascii="宋体" w:hAnsi="宋体" w:eastAsia="宋体" w:cs="宋体"/>
          <w:b/>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乙方</w:t>
      </w:r>
      <w:r>
        <w:rPr>
          <w:rFonts w:hint="eastAsia" w:ascii="宋体" w:hAnsi="宋体" w:eastAsia="宋体" w:cs="宋体"/>
          <w:color w:val="000000"/>
          <w:sz w:val="24"/>
          <w:szCs w:val="24"/>
          <w:highlight w:val="none"/>
          <w:lang w:val="en-US" w:eastAsia="zh-CN"/>
        </w:rPr>
        <w:t xml:space="preserve">应按招标</w:t>
      </w:r>
      <w:r>
        <w:rPr>
          <w:rFonts w:hint="eastAsia" w:ascii="宋体" w:hAnsi="宋体" w:eastAsia="宋体" w:cs="宋体"/>
          <w:color w:val="000000"/>
          <w:sz w:val="24"/>
          <w:szCs w:val="24"/>
          <w:highlight w:val="none"/>
        </w:rPr>
        <w:t xml:space="preserve">文件规定的时间向甲方提供有关技术资料。</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813"/>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rPr>
          <w:rFonts w:hint="eastAsia" w:ascii="宋体" w:hAnsi="宋体" w:eastAsia="宋体" w:cs="宋体"/>
          <w:b/>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813"/>
        <w:ind w:firstLine="482"/>
        <w:jc w:val="left"/>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五、产权担保</w:t>
      </w:r>
      <w:r>
        <w:rPr>
          <w:rFonts w:hint="eastAsia" w:ascii="宋体" w:hAnsi="宋体" w:eastAsia="宋体" w:cs="宋体"/>
          <w:color w:val="000000"/>
          <w:sz w:val="24"/>
          <w:szCs w:val="24"/>
          <w:highlight w:val="none"/>
          <w:u w:val="single"/>
        </w:rPr>
      </w:r>
      <w:r/>
    </w:p>
    <w:p>
      <w:pPr>
        <w:pStyle w:val="813"/>
        <w:ind w:firstLine="480"/>
        <w:jc w:val="left"/>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 乙方保证所交付标的的所有权完全属于乙方且无任何抵押、查封等产权瑕疵。</w:t>
      </w:r>
      <w:r>
        <w:rPr>
          <w:rFonts w:hint="eastAsia" w:ascii="宋体" w:hAnsi="宋体" w:eastAsia="宋体" w:cs="宋体"/>
          <w:color w:val="000000"/>
          <w:sz w:val="24"/>
          <w:szCs w:val="24"/>
          <w:highlight w:val="none"/>
          <w:u w:val="single"/>
        </w:rPr>
      </w:r>
      <w:r/>
    </w:p>
    <w:p>
      <w:pPr>
        <w:pStyle w:val="813"/>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rPr>
          <w:rFonts w:hint="eastAsia" w:ascii="宋体" w:hAnsi="宋体" w:eastAsia="宋体" w:cs="宋体"/>
          <w:b/>
          <w:color w:val="000000"/>
          <w:sz w:val="24"/>
          <w:szCs w:val="24"/>
          <w:highlight w:val="none"/>
        </w:rPr>
      </w:r>
      <w:r/>
    </w:p>
    <w:p>
      <w:pPr>
        <w:pStyle w:val="813"/>
        <w:ind w:firstLine="482"/>
        <w:spacing w:line="56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收取</w:t>
      </w:r>
      <w:r>
        <w:rPr>
          <w:rFonts w:hint="eastAsia" w:ascii="宋体" w:hAnsi="宋体" w:eastAsia="宋体" w:cs="宋体"/>
          <w:color w:val="000000"/>
          <w:sz w:val="24"/>
          <w:szCs w:val="24"/>
          <w:highlight w:val="none"/>
        </w:rPr>
        <w:t xml:space="preserve">时采用：</w:t>
      </w:r>
      <w:r>
        <w:rPr>
          <w:rFonts w:hint="eastAsia" w:ascii="宋体" w:hAnsi="宋体" w:eastAsia="宋体" w:cs="宋体"/>
          <w:b/>
          <w:color w:val="000000"/>
          <w:sz w:val="24"/>
          <w:szCs w:val="24"/>
          <w:highlight w:val="none"/>
        </w:rPr>
      </w:r>
      <w:r/>
    </w:p>
    <w:p>
      <w:pPr>
        <w:pStyle w:val="81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乙方交纳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作为本合同的履约保证金，乙方应当以支票、汇票、本票或者金融机构、担保机构出具的保函等非现金形式提交。</w:t>
      </w:r>
      <w:r>
        <w:rPr>
          <w:rFonts w:hint="eastAsia" w:ascii="宋体" w:hAnsi="宋体" w:eastAsia="宋体" w:cs="宋体"/>
          <w:color w:val="000000"/>
          <w:sz w:val="24"/>
          <w:szCs w:val="24"/>
          <w:highlight w:val="none"/>
        </w:rPr>
      </w:r>
      <w:r/>
    </w:p>
    <w:p>
      <w:pPr>
        <w:pStyle w:val="81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履约保证金在乙方主要合同义务履行完毕后五个工作日内由甲方以非现金形式一次性退还。</w:t>
      </w:r>
      <w:r>
        <w:rPr>
          <w:rFonts w:hint="eastAsia" w:ascii="宋体" w:hAnsi="宋体" w:eastAsia="宋体" w:cs="宋体"/>
          <w:color w:val="000000"/>
          <w:sz w:val="24"/>
          <w:szCs w:val="24"/>
          <w:highlight w:val="none"/>
        </w:rPr>
      </w:r>
      <w:r/>
    </w:p>
    <w:p>
      <w:pPr>
        <w:pStyle w:val="81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乙方违约的，甲方将根据违约责任条款扣除其全部或部分履约保证金。如乙方违约给甲方造成的损失超过履约保证金的，应当依法赔偿超过部分的损失。</w:t>
      </w:r>
      <w:r>
        <w:rPr>
          <w:rFonts w:hint="eastAsia" w:ascii="宋体" w:hAnsi="宋体" w:eastAsia="宋体" w:cs="宋体"/>
          <w:color w:val="000000"/>
          <w:sz w:val="24"/>
          <w:szCs w:val="24"/>
          <w:highlight w:val="none"/>
        </w:rPr>
      </w:r>
      <w:r/>
    </w:p>
    <w:p>
      <w:pPr>
        <w:pStyle w:val="813"/>
        <w:ind w:firstLine="480"/>
        <w:spacing w:line="560" w:lineRule="exact"/>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6.4 逾期退还履约保证金的甲方承担违约责任，按照中国人民银行同期贷款基准利率支付超期资金占用费。</w:t>
      </w:r>
      <w:r>
        <w:rPr>
          <w:rFonts w:hint="eastAsia" w:ascii="宋体" w:hAnsi="宋体" w:eastAsia="宋体" w:cs="宋体"/>
          <w:color w:val="000000"/>
          <w:szCs w:val="24"/>
          <w:highlight w:val="none"/>
        </w:rPr>
      </w:r>
      <w:r/>
    </w:p>
    <w:p>
      <w:pPr>
        <w:pStyle w:val="813"/>
        <w:ind w:firstLine="482"/>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不收取</w:t>
      </w:r>
      <w:r>
        <w:rPr>
          <w:rFonts w:hint="eastAsia" w:ascii="宋体" w:hAnsi="宋体" w:eastAsia="宋体" w:cs="宋体"/>
          <w:color w:val="000000"/>
          <w:sz w:val="24"/>
          <w:szCs w:val="24"/>
          <w:highlight w:val="none"/>
        </w:rPr>
        <w:t xml:space="preserve">时采用：</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6.1本项目不收取履约保证金。</w:t>
      </w:r>
      <w:r>
        <w:rPr>
          <w:rFonts w:hint="eastAsia" w:ascii="宋体" w:hAnsi="宋体" w:eastAsia="宋体" w:cs="宋体"/>
          <w:color w:val="000000"/>
          <w:sz w:val="24"/>
          <w:szCs w:val="24"/>
          <w:highlight w:val="none"/>
        </w:rPr>
      </w:r>
      <w:r/>
    </w:p>
    <w:p>
      <w:pPr>
        <w:pStyle w:val="813"/>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七、转包或分包</w:t>
      </w:r>
      <w:r>
        <w:rPr>
          <w:rFonts w:hint="eastAsia" w:ascii="宋体" w:hAnsi="宋体" w:eastAsia="宋体" w:cs="宋体"/>
          <w:b/>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本合同范围内产品或服务，应由乙方直接供应，不得转让他人供应。</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除非得到甲方的书面同意，乙方不得部分分包给他人供应。</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如有转让和未经甲方同意的分包行为，甲方有权给予终止合同。 </w:t>
      </w:r>
      <w:r>
        <w:rPr>
          <w:rFonts w:hint="eastAsia" w:ascii="宋体" w:hAnsi="宋体" w:eastAsia="宋体" w:cs="宋体"/>
          <w:color w:val="000000"/>
          <w:sz w:val="24"/>
          <w:szCs w:val="24"/>
          <w:highlight w:val="none"/>
        </w:rPr>
      </w:r>
      <w:r/>
    </w:p>
    <w:p>
      <w:pPr>
        <w:pStyle w:val="813"/>
        <w:ind w:firstLine="482"/>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八、服务期</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服务期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813"/>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九、交付期、交付方式及交付地点</w:t>
      </w:r>
      <w:r>
        <w:rPr>
          <w:rFonts w:hint="eastAsia" w:ascii="宋体" w:hAnsi="宋体" w:eastAsia="宋体" w:cs="宋体"/>
          <w:b/>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9.1 交 付 期：</w:t>
      </w:r>
      <w:r>
        <w:rPr>
          <w:rFonts w:hint="eastAsia" w:ascii="宋体" w:hAnsi="宋体" w:eastAsia="宋体" w:cs="宋体"/>
          <w:color w:val="000000"/>
          <w:sz w:val="24"/>
          <w:szCs w:val="24"/>
          <w:highlight w:val="none"/>
        </w:rPr>
        <w:t xml:space="preserve">_________。   </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9.2 交付方式：</w:t>
      </w:r>
      <w:r>
        <w:rPr>
          <w:rFonts w:hint="eastAsia" w:ascii="宋体" w:hAnsi="宋体" w:eastAsia="宋体" w:cs="宋体"/>
          <w:color w:val="000000"/>
          <w:sz w:val="24"/>
          <w:szCs w:val="24"/>
          <w:highlight w:val="none"/>
        </w:rPr>
        <w:t xml:space="preserve">_________。</w:t>
      </w:r>
      <w:r>
        <w:rPr>
          <w:rFonts w:hint="eastAsia" w:ascii="宋体" w:hAnsi="宋体" w:eastAsia="宋体" w:cs="宋体"/>
          <w:bCs/>
          <w:color w:val="000000"/>
          <w:sz w:val="24"/>
          <w:szCs w:val="24"/>
          <w:highlight w:val="none"/>
        </w:rPr>
      </w:r>
      <w:r/>
    </w:p>
    <w:p>
      <w:pPr>
        <w:pStyle w:val="813"/>
        <w:ind w:firstLine="480"/>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9.3 交付地点：</w:t>
      </w:r>
      <w:r>
        <w:rPr>
          <w:rFonts w:hint="eastAsia" w:ascii="宋体" w:hAnsi="宋体" w:eastAsia="宋体" w:cs="宋体"/>
          <w:color w:val="000000"/>
          <w:sz w:val="24"/>
          <w:szCs w:val="24"/>
          <w:highlight w:val="none"/>
        </w:rPr>
        <w:t xml:space="preserve">_________。</w:t>
      </w:r>
      <w:r>
        <w:rPr>
          <w:rFonts w:hint="eastAsia" w:ascii="宋体" w:hAnsi="宋体" w:eastAsia="宋体" w:cs="宋体"/>
          <w:b/>
          <w:color w:val="000000"/>
          <w:sz w:val="24"/>
          <w:szCs w:val="24"/>
          <w:highlight w:val="none"/>
        </w:rPr>
      </w:r>
      <w:r/>
    </w:p>
    <w:p>
      <w:pPr>
        <w:pStyle w:val="813"/>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十、合同款支付</w:t>
      </w:r>
      <w:r>
        <w:rPr>
          <w:rFonts w:hint="eastAsia" w:ascii="宋体" w:hAnsi="宋体" w:eastAsia="宋体" w:cs="宋体"/>
          <w:b/>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10.1 付款方式：</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10.2 </w:t>
      </w:r>
      <w:r>
        <w:rPr>
          <w:rFonts w:hint="eastAsia" w:ascii="宋体" w:hAnsi="宋体" w:eastAsia="宋体" w:cs="宋体"/>
          <w:color w:val="000000"/>
          <w:sz w:val="24"/>
          <w:szCs w:val="24"/>
          <w:highlight w:val="none"/>
        </w:rPr>
        <w:t xml:space="preserve">当采购数量与实际使用数量不一致时，乙方根据实际使用量提供产品和服务，合同的最终结算金额按实际使用量乘以成交单价进行计算。</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10.3 </w:t>
      </w:r>
      <w:r>
        <w:rPr>
          <w:rFonts w:hint="eastAsia" w:ascii="宋体" w:hAnsi="宋体" w:eastAsia="宋体" w:cs="宋体"/>
          <w:color w:val="000000"/>
          <w:sz w:val="24"/>
          <w:szCs w:val="24"/>
          <w:highlight w:val="none"/>
          <w:lang w:val="en-US" w:eastAsia="zh-CN"/>
        </w:rPr>
        <w:t xml:space="preserve">乙方在甲方付款前，乙方须向甲方开具等额发票给甲方，乙方应对开具的发票合规性负责，如乙方开具的发票是无效、虚假、无法抵扣、滞留发票等的，乙方应负责赔偿甲方因为乙方开具不合规发票造成的一切损失，包括但不限于税金、附加费、罚金、滞纳金及法律费用。乙方未按照上述约定提供发票的，甲方有权拒绝付款且不承担任何违约责任，乙方亦不得以此为由拒绝履行合同项下义务，且甲方有权要求乙方重新开具合法有效的发票。</w:t>
      </w:r>
      <w:r>
        <w:rPr>
          <w:rFonts w:hint="eastAsia" w:ascii="宋体" w:hAnsi="宋体" w:eastAsia="宋体" w:cs="宋体"/>
          <w:color w:val="000000"/>
          <w:sz w:val="24"/>
          <w:szCs w:val="24"/>
          <w:highlight w:val="none"/>
          <w:lang w:val="en-US" w:eastAsia="zh-CN"/>
        </w:rPr>
      </w:r>
      <w:r/>
    </w:p>
    <w:p>
      <w:pPr>
        <w:pStyle w:val="813"/>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十一、税费</w:t>
      </w:r>
      <w:r>
        <w:rPr>
          <w:rFonts w:hint="eastAsia" w:ascii="宋体" w:hAnsi="宋体" w:eastAsia="宋体" w:cs="宋体"/>
          <w:b/>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本合同执行中相关的一切税费均由乙方负担。</w:t>
      </w:r>
      <w:r>
        <w:rPr>
          <w:rFonts w:hint="eastAsia" w:ascii="宋体" w:hAnsi="宋体" w:eastAsia="宋体" w:cs="宋体"/>
          <w:color w:val="000000"/>
          <w:sz w:val="24"/>
          <w:szCs w:val="24"/>
          <w:highlight w:val="none"/>
        </w:rPr>
      </w:r>
      <w:r/>
    </w:p>
    <w:p>
      <w:pPr>
        <w:pStyle w:val="813"/>
        <w:ind w:firstLine="482"/>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十二、质量保证及售后服务</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乙方应按文件规定和响应文件承诺的性能、技术要求、质量标准向甲方提供产品或服务。</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乙方提供的产品或服务在质保期内因其本身出现质量问题，根据实际情况，经双方协商，可按以下办法处理：</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（1）更换：由乙方承担所发生的全部费用。</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（2）合同终止处理：合同终止，并退还甲方支付的合同款，同时应承担由此产生的所有费用，甲方不承担发生任何费用。</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如在使用过程中发生质量问题，乙方在接到甲方通知后在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小时内到达甲方现场。</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在质保期内，乙方应对产品或服务出现的质量及安全问题负责处理解决并承担一切费用。</w:t>
      </w:r>
      <w:r>
        <w:rPr>
          <w:rFonts w:hint="eastAsia" w:ascii="宋体" w:hAnsi="宋体" w:eastAsia="宋体" w:cs="宋体"/>
          <w:color w:val="000000"/>
          <w:sz w:val="24"/>
          <w:szCs w:val="24"/>
          <w:highlight w:val="none"/>
        </w:rPr>
      </w:r>
      <w:r/>
    </w:p>
    <w:p>
      <w:pPr>
        <w:pStyle w:val="813"/>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十三、验收</w:t>
      </w:r>
      <w:r>
        <w:rPr>
          <w:rFonts w:hint="eastAsia" w:ascii="宋体" w:hAnsi="宋体" w:eastAsia="宋体" w:cs="宋体"/>
          <w:b/>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甲方对乙方提交的产品或服务依据文件上的项目需求要求、乙方响应文件及国家有关质量标准进行验收。</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乙方交货前应对产品或服务作出全面检查和对验收文件进行整理，并列出清单，作为甲方验收和使用的技术条件依据，检验的结果应随服务一起提交甲方。</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甲方对乙方提供的产品或服务在使用前，乙方需负责培训甲方的使用操作人员，并协助甲方一起试用，直到符合技术要求，甲方才做最终验收。</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对技术复杂的产品或服务，甲方可请国家认可的专业检测机构参与初步验收及最终验收，并由其出具质量检测报告。</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 验收时乙方必须在现场，验收完毕后作出验收结果报告；文件规定以外的验收费用由甲乙双方协商解决。</w:t>
      </w:r>
      <w:r>
        <w:rPr>
          <w:rFonts w:hint="eastAsia" w:ascii="宋体" w:hAnsi="宋体" w:eastAsia="宋体" w:cs="宋体"/>
          <w:color w:val="000000"/>
          <w:sz w:val="24"/>
          <w:szCs w:val="24"/>
          <w:highlight w:val="none"/>
        </w:rPr>
      </w:r>
      <w:r/>
    </w:p>
    <w:p>
      <w:pPr>
        <w:pStyle w:val="813"/>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十四、合同内容的交付</w:t>
      </w:r>
      <w:r>
        <w:rPr>
          <w:rFonts w:hint="eastAsia" w:ascii="宋体" w:hAnsi="宋体" w:eastAsia="宋体" w:cs="宋体"/>
          <w:b/>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乙方应保证合同标的安全运达甲方指定地点。</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使用说明书、质量检验证明书一并提交甲方。</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乙方在合同标的交付甲方48小时前通知甲方准备接收。</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合同标的在交付甲方前发生的风险均由乙方负责。</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 合同标的在规定的交付期限内由乙方送达甲方指定的地点视为交付，乙方同时需通知甲方已送达。</w:t>
      </w:r>
      <w:r>
        <w:rPr>
          <w:rFonts w:hint="eastAsia" w:ascii="宋体" w:hAnsi="宋体" w:eastAsia="宋体" w:cs="宋体"/>
          <w:color w:val="000000"/>
          <w:sz w:val="24"/>
          <w:szCs w:val="24"/>
          <w:highlight w:val="none"/>
        </w:rPr>
      </w:r>
      <w:r/>
    </w:p>
    <w:p>
      <w:pPr>
        <w:pStyle w:val="813"/>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十五、违约责任</w:t>
      </w:r>
      <w:r>
        <w:rPr>
          <w:rFonts w:hint="eastAsia" w:ascii="宋体" w:hAnsi="宋体" w:eastAsia="宋体" w:cs="宋体"/>
          <w:b/>
          <w:color w:val="000000"/>
          <w:sz w:val="24"/>
          <w:szCs w:val="24"/>
          <w:highlight w:val="none"/>
        </w:rPr>
      </w:r>
      <w:r/>
    </w:p>
    <w:p>
      <w:pPr>
        <w:pStyle w:val="813"/>
        <w:ind w:firstLine="480"/>
        <w:jc w:val="left"/>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15.1 合同履约期内，乙方因排放不达标、现场运营管理不善等原因被有关部门或单位 通报、罚款、追责的所有责任及费用由乙方承担，甲方有权继续追究乙方的违约责任，如拒绝支付剩余款项，单方面解除合同等。</w:t>
      </w:r>
      <w:r>
        <w:rPr>
          <w:rFonts w:hint="eastAsia" w:ascii="宋体" w:hAnsi="宋体" w:eastAsia="宋体" w:cs="宋体"/>
          <w:color w:val="000000"/>
          <w:sz w:val="24"/>
          <w:szCs w:val="24"/>
          <w:highlight w:val="none"/>
          <w:lang w:val="en-US" w:eastAsia="zh-CN" w:bidi="ar-SA"/>
        </w:rPr>
      </w:r>
      <w:r/>
    </w:p>
    <w:p>
      <w:pPr>
        <w:pStyle w:val="813"/>
        <w:ind w:firstLine="480"/>
        <w:jc w:val="left"/>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15.2 甲方无故逾期验收和办理合同款支付手续的,甲方应按逾期付款总额每日</w:t>
      </w:r>
      <w:r>
        <w:rPr>
          <w:rFonts w:hint="eastAsia" w:ascii="宋体" w:hAnsi="宋体" w:eastAsia="宋体" w:cs="宋体"/>
          <w:color w:val="000000"/>
          <w:sz w:val="24"/>
          <w:szCs w:val="24"/>
          <w:highlight w:val="none"/>
          <w:u w:val="single"/>
          <w:lang w:val="en-US" w:eastAsia="zh-CN" w:bidi="ar-SA"/>
        </w:rPr>
        <w:t xml:space="preserve">万分之五</w:t>
      </w:r>
      <w:r>
        <w:rPr>
          <w:rFonts w:hint="eastAsia" w:ascii="宋体" w:hAnsi="宋体" w:eastAsia="宋体" w:cs="宋体"/>
          <w:color w:val="000000"/>
          <w:sz w:val="24"/>
          <w:szCs w:val="24"/>
          <w:highlight w:val="none"/>
          <w:lang w:val="en-US" w:eastAsia="zh-CN" w:bidi="ar-SA"/>
        </w:rPr>
        <w:t xml:space="preserve">向乙方支付违约金，最高限额为本合同总额的</w:t>
      </w:r>
      <w:r>
        <w:rPr>
          <w:rFonts w:hint="eastAsia" w:ascii="宋体" w:hAnsi="宋体" w:eastAsia="宋体" w:cs="宋体"/>
          <w:color w:val="000000"/>
          <w:sz w:val="24"/>
          <w:szCs w:val="24"/>
          <w:highlight w:val="none"/>
          <w:u w:val="single"/>
          <w:lang w:val="en-US" w:eastAsia="zh-CN" w:bidi="ar-SA"/>
        </w:rPr>
        <w:t xml:space="preserve">百分之五</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13"/>
        <w:ind w:firstLine="480"/>
        <w:jc w:val="left"/>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15.3 乙方逾期交付合同标的的，乙方应按逾期交付总额每日</w:t>
      </w:r>
      <w:r>
        <w:rPr>
          <w:rFonts w:hint="eastAsia" w:ascii="宋体" w:hAnsi="宋体" w:eastAsia="宋体" w:cs="宋体"/>
          <w:color w:val="000000"/>
          <w:sz w:val="24"/>
          <w:szCs w:val="24"/>
          <w:highlight w:val="none"/>
          <w:u w:val="single"/>
          <w:lang w:val="en-US" w:eastAsia="zh-CN" w:bidi="ar-SA"/>
        </w:rPr>
        <w:t xml:space="preserve">万分之五</w:t>
      </w:r>
      <w:r>
        <w:rPr>
          <w:rFonts w:hint="eastAsia" w:ascii="宋体" w:hAnsi="宋体" w:eastAsia="宋体" w:cs="宋体"/>
          <w:color w:val="000000"/>
          <w:sz w:val="24"/>
          <w:szCs w:val="24"/>
          <w:highlight w:val="none"/>
          <w:lang w:val="en-US" w:eastAsia="zh-CN" w:bidi="ar-SA"/>
        </w:rPr>
        <w:t xml:space="preserve">向甲方支付违约金，由甲方从待付合同款中扣除，最高限额为本合同总额的</w:t>
      </w:r>
      <w:r>
        <w:rPr>
          <w:rFonts w:hint="eastAsia" w:ascii="宋体" w:hAnsi="宋体" w:eastAsia="宋体" w:cs="宋体"/>
          <w:color w:val="000000"/>
          <w:sz w:val="24"/>
          <w:szCs w:val="24"/>
          <w:highlight w:val="none"/>
          <w:u w:val="single"/>
          <w:lang w:val="en-US" w:eastAsia="zh-CN" w:bidi="ar-SA"/>
        </w:rPr>
        <w:t xml:space="preserve">百分之五</w:t>
      </w:r>
      <w:r>
        <w:rPr>
          <w:rFonts w:hint="eastAsia" w:ascii="宋体" w:hAnsi="宋体" w:eastAsia="宋体" w:cs="宋体"/>
          <w:color w:val="000000"/>
          <w:sz w:val="24"/>
          <w:szCs w:val="24"/>
          <w:highlight w:val="none"/>
          <w:lang w:val="en-US" w:eastAsia="zh-CN" w:bidi="ar-SA"/>
        </w:rPr>
        <w:t xml:space="preserve">。逾期超过约定日期10个工作日不能交付的，甲方可解除本合同。乙方因逾期交付或因其他违约行为导致甲方解除合同的，乙方应向甲方支付合同总额</w:t>
      </w:r>
      <w:r>
        <w:rPr>
          <w:rFonts w:hint="eastAsia" w:ascii="宋体" w:hAnsi="宋体" w:eastAsia="宋体" w:cs="宋体"/>
          <w:color w:val="000000"/>
          <w:sz w:val="24"/>
          <w:szCs w:val="24"/>
          <w:highlight w:val="none"/>
          <w:u w:val="single"/>
          <w:lang w:val="en-US" w:eastAsia="zh-CN" w:bidi="ar-SA"/>
        </w:rPr>
        <w:t xml:space="preserve">百分之五</w:t>
      </w:r>
      <w:r>
        <w:rPr>
          <w:rFonts w:hint="eastAsia" w:ascii="宋体" w:hAnsi="宋体" w:eastAsia="宋体" w:cs="宋体"/>
          <w:color w:val="000000"/>
          <w:sz w:val="24"/>
          <w:szCs w:val="24"/>
          <w:highlight w:val="none"/>
          <w:lang w:val="en-US" w:eastAsia="zh-CN" w:bidi="ar-SA"/>
        </w:rPr>
        <w:t xml:space="preserve">的违约金，如造成甲方损失超过违约金的，超出部分由乙方继续承担赔偿责任。 </w:t>
      </w:r>
      <w:r>
        <w:rPr>
          <w:rFonts w:hint="eastAsia" w:ascii="宋体" w:hAnsi="宋体" w:eastAsia="宋体" w:cs="宋体"/>
          <w:color w:val="000000"/>
          <w:sz w:val="24"/>
          <w:szCs w:val="24"/>
          <w:highlight w:val="none"/>
          <w:lang w:val="en-US" w:eastAsia="zh-CN" w:bidi="ar-SA"/>
        </w:rPr>
      </w:r>
      <w:r/>
    </w:p>
    <w:p>
      <w:pPr>
        <w:pStyle w:val="813"/>
        <w:ind w:firstLine="480"/>
        <w:jc w:val="left"/>
        <w:spacing w:line="5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rPr>
          <w:rFonts w:hint="eastAsia" w:ascii="宋体" w:hAnsi="宋体" w:eastAsia="宋体" w:cs="宋体"/>
          <w:color w:val="000000"/>
          <w:sz w:val="24"/>
          <w:szCs w:val="24"/>
          <w:highlight w:val="none"/>
          <w:lang w:val="en-US" w:eastAsia="zh-CN" w:bidi="ar-SA"/>
        </w:rPr>
      </w:r>
      <w:r/>
    </w:p>
    <w:p>
      <w:pPr>
        <w:pStyle w:val="813"/>
        <w:ind w:firstLine="480"/>
        <w:jc w:val="left"/>
        <w:spacing w:line="5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15.5合同生效后，如乙方擅自中途停止或解除合同，乙方按未完成工作量的价款双倍赔偿甲方损失。</w:t>
      </w:r>
      <w:r>
        <w:rPr>
          <w:rFonts w:hint="eastAsia" w:ascii="宋体" w:hAnsi="宋体" w:eastAsia="宋体" w:cs="宋体"/>
          <w:color w:val="000000"/>
          <w:sz w:val="24"/>
          <w:szCs w:val="24"/>
          <w:highlight w:val="none"/>
          <w:lang w:val="en-US" w:eastAsia="zh-CN" w:bidi="ar-SA"/>
        </w:rPr>
      </w:r>
      <w:r/>
    </w:p>
    <w:p>
      <w:pPr>
        <w:pStyle w:val="813"/>
        <w:ind w:firstLine="480"/>
        <w:jc w:val="left"/>
        <w:spacing w:line="5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15.6乙方人员不遵守运营规程，造成重大责任事故的，所有责任由乙方承担，交付有权单方面解除合同。</w:t>
      </w:r>
      <w:r>
        <w:rPr>
          <w:rFonts w:hint="eastAsia" w:ascii="宋体" w:hAnsi="宋体" w:eastAsia="宋体" w:cs="宋体"/>
          <w:color w:val="000000"/>
          <w:sz w:val="24"/>
          <w:szCs w:val="24"/>
          <w:highlight w:val="none"/>
          <w:lang w:val="en-US" w:eastAsia="zh-CN" w:bidi="ar-SA"/>
        </w:rPr>
      </w:r>
      <w:r/>
    </w:p>
    <w:p>
      <w:pPr>
        <w:pStyle w:val="813"/>
        <w:ind w:firstLine="480"/>
        <w:jc w:val="left"/>
        <w:spacing w:line="56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15.7乙方提供服务过程中有未按照要求提供服务及其他违反合同约定的行为，经甲方要求整改，未在整改期内整改的，甲方有权单方面解除合同。</w:t>
      </w:r>
      <w:r>
        <w:rPr>
          <w:rFonts w:ascii="宋体" w:hAnsi="宋体" w:eastAsia="宋体" w:cs="宋体"/>
          <w:color w:val="000000"/>
          <w:sz w:val="24"/>
          <w:szCs w:val="24"/>
          <w:highlight w:val="none"/>
          <w:lang w:val="en-US" w:eastAsia="zh-CN" w:bidi="ar-SA"/>
        </w:rPr>
      </w:r>
      <w:r/>
    </w:p>
    <w:p>
      <w:pPr>
        <w:pStyle w:val="813"/>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十六、不可抗力事件处理</w:t>
      </w:r>
      <w:r>
        <w:rPr>
          <w:rFonts w:hint="eastAsia" w:ascii="宋体" w:hAnsi="宋体" w:eastAsia="宋体" w:cs="宋体"/>
          <w:b/>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在合同有效期内，任何一方因不可抗力事件导致不能履行合同，则合同履行期延长，其延长期与不可抗力影响期相同。</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不可抗力事件发生后，应立即通知对方，并寄送有关权威机构出具的证明。</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不可抗力事件延续120天以上，双方应通过友好协商，确定是否继续履行合同。</w:t>
      </w:r>
      <w:r>
        <w:rPr>
          <w:rFonts w:hint="eastAsia" w:ascii="宋体" w:hAnsi="宋体" w:eastAsia="宋体" w:cs="宋体"/>
          <w:color w:val="000000"/>
          <w:sz w:val="24"/>
          <w:szCs w:val="24"/>
          <w:highlight w:val="none"/>
        </w:rPr>
      </w:r>
      <w:r/>
    </w:p>
    <w:p>
      <w:pPr>
        <w:pStyle w:val="813"/>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十七、争议解决</w:t>
      </w:r>
      <w:r>
        <w:rPr>
          <w:rFonts w:hint="eastAsia" w:ascii="宋体" w:hAnsi="宋体" w:eastAsia="宋体" w:cs="宋体"/>
          <w:b/>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双方在执行合同中所发生的一切争议，应通过协商解决。如协商不成，按下列第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（1）向连云港仲裁委员会申请仲裁。</w:t>
      </w:r>
      <w:r>
        <w:rPr>
          <w:rFonts w:hint="eastAsia" w:ascii="宋体" w:hAnsi="宋体" w:eastAsia="宋体" w:cs="宋体"/>
          <w:color w:val="000000"/>
          <w:sz w:val="24"/>
          <w:szCs w:val="24"/>
          <w:highlight w:val="none"/>
        </w:rPr>
      </w:r>
      <w:r/>
    </w:p>
    <w:p>
      <w:pPr>
        <w:pStyle w:val="813"/>
        <w:ind w:firstLine="48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（2）向合同签订地法院起诉，合同签订地在此约定为连云港市</w:t>
      </w:r>
      <w:r>
        <w:rPr>
          <w:rFonts w:hint="eastAsia" w:ascii="宋体" w:hAnsi="宋体" w:eastAsia="宋体" w:cs="宋体"/>
          <w:color w:val="000000"/>
          <w:sz w:val="24"/>
          <w:szCs w:val="24"/>
          <w:highlight w:val="none"/>
          <w:lang w:val="en-US" w:eastAsia="zh-CN"/>
        </w:rPr>
        <w:t xml:space="preserve">海州区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3"/>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十八、合同生效及其它</w:t>
      </w:r>
      <w:r>
        <w:rPr>
          <w:rFonts w:hint="eastAsia" w:ascii="宋体" w:hAnsi="宋体" w:eastAsia="宋体" w:cs="宋体"/>
          <w:b/>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合同经双方法定代表人或委托代理人签字并加盖单位公章后生效。</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本合同未尽事宜，遵照《中华人民共和国民法典》有关条文执行。</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本合同正本一式</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份，具有同等法律效力，甲方、乙方、见证方各执</w:t>
      </w:r>
      <w:r>
        <w:rPr>
          <w:rFonts w:hint="eastAsia" w:ascii="宋体" w:hAnsi="宋体" w:eastAsia="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813"/>
        <w:ind w:firstLine="482"/>
        <w:jc w:val="left"/>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18.4 甲方享有基于公共利益需要或维护法定权益需要可单方变更、终止合同的权利。</w:t>
      </w:r>
      <w:r>
        <w:rPr>
          <w:rFonts w:hint="eastAsia" w:ascii="宋体" w:hAnsi="宋体" w:eastAsia="宋体" w:cs="宋体"/>
          <w:color w:val="000000"/>
          <w:sz w:val="24"/>
          <w:szCs w:val="24"/>
          <w:highlight w:val="none"/>
          <w:lang w:val="en-US" w:eastAsia="zh-CN"/>
        </w:rPr>
      </w:r>
      <w:r/>
    </w:p>
    <w:p>
      <w:pPr>
        <w:pStyle w:val="813"/>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               </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委托代理人：           </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                     </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传真：                     </w:t>
      </w:r>
      <w:r>
        <w:rPr>
          <w:rFonts w:hint="eastAsia" w:ascii="宋体" w:hAnsi="宋体" w:eastAsia="宋体" w:cs="宋体"/>
          <w:color w:val="000000"/>
          <w:sz w:val="24"/>
          <w:szCs w:val="24"/>
          <w:highlight w:val="none"/>
        </w:rPr>
      </w:r>
      <w:r/>
    </w:p>
    <w:p>
      <w:pPr>
        <w:pStyle w:val="813"/>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rPr>
          <w:rFonts w:hint="eastAsia" w:ascii="宋体" w:hAnsi="宋体" w:eastAsia="宋体" w:cs="宋体"/>
          <w:color w:val="000000"/>
          <w:sz w:val="24"/>
          <w:szCs w:val="24"/>
          <w:highlight w:val="none"/>
        </w:rPr>
      </w:r>
      <w:r/>
    </w:p>
    <w:p>
      <w:pPr>
        <w:pStyle w:val="813"/>
        <w:jc w:val="both"/>
        <w:keepLines/>
        <w:keepNext/>
        <w:spacing w:line="360" w:lineRule="auto"/>
        <w:rPr>
          <w:rFonts w:hint="eastAsia" w:ascii="宋体" w:hAnsi="宋体" w:eastAsia="宋体" w:cs="宋体"/>
          <w:color w:val="000000"/>
          <w:sz w:val="36"/>
          <w:szCs w:val="20"/>
          <w:highlight w:val="none"/>
        </w:rPr>
        <w:outlineLvl w:val="0"/>
      </w:pPr>
      <w:r/>
      <w:bookmarkStart w:id="14" w:name="_Toc4556"/>
      <w:r/>
      <w:bookmarkStart w:id="15" w:name="_Toc513622229"/>
      <w:r/>
      <w:bookmarkStart w:id="16" w:name="_Toc139967212"/>
      <w:r/>
      <w:bookmarkStart w:id="17" w:name="_Toc139966428"/>
      <w:r>
        <w:rPr>
          <w:rFonts w:hint="eastAsia" w:ascii="宋体" w:hAnsi="宋体" w:eastAsia="宋体" w:cs="宋体"/>
          <w:color w:val="000000"/>
          <w:sz w:val="36"/>
          <w:szCs w:val="20"/>
          <w:highlight w:val="none"/>
        </w:rPr>
      </w:r>
      <w:r/>
    </w:p>
    <w:p>
      <w:pPr>
        <w:pStyle w:val="844"/>
        <w:rPr>
          <w:rFonts w:hint="eastAsia" w:ascii="宋体" w:hAnsi="宋体" w:eastAsia="宋体" w:cs="宋体"/>
          <w:color w:val="000000"/>
          <w:sz w:val="36"/>
          <w:szCs w:val="20"/>
          <w:highlight w:val="none"/>
        </w:rPr>
      </w:pPr>
      <w:r>
        <w:rPr>
          <w:rFonts w:hint="eastAsia" w:ascii="宋体" w:hAnsi="宋体" w:eastAsia="宋体" w:cs="宋体"/>
          <w:color w:val="000000"/>
          <w:sz w:val="36"/>
          <w:szCs w:val="20"/>
          <w:highlight w:val="none"/>
        </w:rPr>
      </w:r>
      <w:r/>
    </w:p>
    <w:p>
      <w:pPr>
        <w:pStyle w:val="844"/>
        <w:ind w:left="0" w:firstLine="0"/>
        <w:rPr>
          <w:rFonts w:hint="eastAsia" w:ascii="宋体" w:hAnsi="宋体" w:eastAsia="宋体" w:cs="宋体"/>
          <w:color w:val="000000"/>
          <w:sz w:val="36"/>
          <w:szCs w:val="20"/>
          <w:highlight w:val="none"/>
        </w:rPr>
      </w:pPr>
      <w:r>
        <w:rPr>
          <w:rFonts w:hint="eastAsia" w:ascii="宋体" w:hAnsi="宋体" w:eastAsia="宋体" w:cs="宋体"/>
          <w:color w:val="000000"/>
          <w:sz w:val="36"/>
          <w:szCs w:val="20"/>
          <w:highlight w:val="none"/>
        </w:rPr>
      </w:r>
      <w:r/>
    </w:p>
    <w:p>
      <w:pPr>
        <w:pStyle w:val="813"/>
        <w:jc w:val="center"/>
        <w:keepLines/>
        <w:keepNext/>
        <w:spacing w:line="360" w:lineRule="auto"/>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br w:type="page" w:clear="all"/>
      </w:r>
      <w:r>
        <w:rPr>
          <w:rFonts w:hint="eastAsia" w:ascii="宋体" w:hAnsi="宋体" w:eastAsia="宋体" w:cs="宋体"/>
          <w:color w:val="000000"/>
          <w:sz w:val="36"/>
          <w:szCs w:val="20"/>
          <w:highlight w:val="none"/>
        </w:rPr>
        <w:t xml:space="preserve">第四章  投标文件格式</w:t>
      </w:r>
      <w:bookmarkEnd w:id="14"/>
      <w:r/>
      <w:bookmarkEnd w:id="15"/>
      <w:r/>
      <w:bookmarkEnd w:id="16"/>
      <w:r/>
      <w:bookmarkEnd w:id="17"/>
      <w:r>
        <w:rPr>
          <w:rFonts w:hint="eastAsia" w:ascii="宋体" w:hAnsi="宋体" w:eastAsia="宋体" w:cs="宋体"/>
          <w:color w:val="000000"/>
          <w:sz w:val="36"/>
          <w:szCs w:val="20"/>
          <w:highlight w:val="none"/>
        </w:rPr>
      </w:r>
      <w:r/>
    </w:p>
    <w:p>
      <w:pPr>
        <w:pStyle w:val="813"/>
        <w:ind w:firstLine="1044"/>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813"/>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813"/>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投 标 文 件</w:t>
      </w:r>
      <w:r>
        <w:rPr>
          <w:rFonts w:hint="eastAsia" w:ascii="宋体" w:hAnsi="宋体" w:eastAsia="宋体" w:cs="宋体"/>
          <w:b/>
          <w:color w:val="000000"/>
          <w:sz w:val="72"/>
          <w:szCs w:val="21"/>
          <w:highlight w:val="none"/>
        </w:rPr>
      </w:r>
      <w:r/>
    </w:p>
    <w:p>
      <w:pPr>
        <w:pStyle w:val="813"/>
        <w:ind w:firstLine="64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3"/>
        <w:ind w:firstLine="1084"/>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13"/>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ind w:firstLine="1084"/>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13"/>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标 段 名 称：</w:t>
      </w:r>
      <w:r>
        <w:rPr>
          <w:rFonts w:hint="eastAsia" w:ascii="宋体" w:hAnsi="宋体" w:eastAsia="宋体" w:cs="宋体"/>
          <w:b/>
          <w:color w:val="000000"/>
          <w:sz w:val="36"/>
          <w:szCs w:val="24"/>
          <w:highlight w:val="none"/>
        </w:rPr>
      </w:r>
      <w:r/>
    </w:p>
    <w:p>
      <w:pPr>
        <w:pStyle w:val="813"/>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标 段 编 号：</w:t>
      </w:r>
      <w:r>
        <w:rPr>
          <w:rFonts w:hint="eastAsia" w:ascii="宋体" w:hAnsi="宋体" w:eastAsia="宋体" w:cs="宋体"/>
          <w:b/>
          <w:color w:val="000000"/>
          <w:sz w:val="36"/>
          <w:szCs w:val="24"/>
          <w:highlight w:val="none"/>
        </w:rPr>
      </w:r>
      <w:r/>
    </w:p>
    <w:p>
      <w:pPr>
        <w:pStyle w:val="813"/>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r>
      <w:r/>
    </w:p>
    <w:p>
      <w:pPr>
        <w:pStyle w:val="813"/>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投标人名称：</w:t>
      </w:r>
      <w:r>
        <w:rPr>
          <w:rFonts w:hint="eastAsia" w:ascii="宋体" w:hAnsi="宋体" w:eastAsia="宋体" w:cs="宋体"/>
          <w:b/>
          <w:color w:val="000000"/>
          <w:sz w:val="36"/>
          <w:szCs w:val="24"/>
          <w:highlight w:val="none"/>
        </w:rPr>
      </w:r>
      <w:r/>
    </w:p>
    <w:p>
      <w:pPr>
        <w:pStyle w:val="813"/>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投标人地址： </w:t>
      </w:r>
      <w:r>
        <w:rPr>
          <w:rFonts w:hint="eastAsia" w:ascii="宋体" w:hAnsi="宋体" w:eastAsia="宋体" w:cs="宋体"/>
          <w:b/>
          <w:color w:val="000000"/>
          <w:sz w:val="36"/>
          <w:szCs w:val="24"/>
          <w:highlight w:val="none"/>
        </w:rPr>
      </w:r>
      <w:r/>
    </w:p>
    <w:p>
      <w:pPr>
        <w:pStyle w:val="813"/>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法定代表人：</w:t>
      </w:r>
      <w:r>
        <w:rPr>
          <w:rFonts w:hint="eastAsia" w:ascii="宋体" w:hAnsi="宋体" w:eastAsia="宋体" w:cs="宋体"/>
          <w:b/>
          <w:color w:val="000000"/>
          <w:sz w:val="36"/>
          <w:szCs w:val="24"/>
          <w:highlight w:val="none"/>
        </w:rPr>
      </w:r>
      <w:r/>
    </w:p>
    <w:p>
      <w:pPr>
        <w:pStyle w:val="813"/>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委托代理人（委托代理时填写）：</w:t>
      </w:r>
      <w:r>
        <w:rPr>
          <w:rFonts w:hint="eastAsia" w:ascii="宋体" w:hAnsi="宋体" w:eastAsia="宋体" w:cs="宋体"/>
          <w:b/>
          <w:color w:val="000000"/>
          <w:sz w:val="36"/>
          <w:szCs w:val="24"/>
          <w:highlight w:val="none"/>
        </w:rPr>
      </w:r>
      <w:r/>
    </w:p>
    <w:p>
      <w:pPr>
        <w:pStyle w:val="813"/>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日      期：</w:t>
      </w:r>
      <w:r>
        <w:rPr>
          <w:rFonts w:hint="eastAsia" w:ascii="宋体" w:hAnsi="宋体" w:eastAsia="宋体" w:cs="宋体"/>
          <w:b/>
          <w:color w:val="000000"/>
          <w:sz w:val="36"/>
          <w:szCs w:val="24"/>
          <w:highlight w:val="none"/>
        </w:rPr>
      </w:r>
      <w:r/>
    </w:p>
    <w:p>
      <w:pPr>
        <w:pStyle w:val="813"/>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36"/>
          <w:szCs w:val="20"/>
          <w:highlight w:val="none"/>
        </w:rPr>
        <w:br w:type="page" w:clear="all"/>
      </w:r>
      <w:bookmarkStart w:id="18" w:name="_Toc139966431"/>
      <w:r/>
      <w:bookmarkStart w:id="19" w:name="_Toc139967215"/>
      <w:r>
        <w:rPr>
          <w:rFonts w:hint="eastAsia" w:ascii="宋体" w:hAnsi="宋体" w:eastAsia="宋体" w:cs="宋体"/>
          <w:color w:val="000000"/>
          <w:sz w:val="24"/>
          <w:szCs w:val="24"/>
          <w:highlight w:val="none"/>
        </w:rPr>
        <w:t xml:space="preserve">格式1、响应函</w:t>
      </w:r>
      <w:r>
        <w:rPr>
          <w:rFonts w:hint="eastAsia" w:ascii="宋体" w:hAnsi="宋体" w:eastAsia="宋体" w:cs="宋体"/>
          <w:color w:val="000000"/>
          <w:sz w:val="24"/>
          <w:szCs w:val="24"/>
          <w:highlight w:val="none"/>
        </w:rPr>
      </w:r>
      <w:r/>
    </w:p>
    <w:p>
      <w:pPr>
        <w:pStyle w:val="813"/>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响应函</w:t>
      </w:r>
      <w:r>
        <w:rPr>
          <w:rFonts w:hint="eastAsia" w:ascii="宋体" w:hAnsi="宋体" w:eastAsia="宋体" w:cs="宋体"/>
          <w:bCs/>
          <w:color w:val="000000"/>
          <w:sz w:val="36"/>
          <w:szCs w:val="28"/>
          <w:highlight w:val="none"/>
        </w:rPr>
      </w:r>
      <w:r/>
    </w:p>
    <w:p>
      <w:pPr>
        <w:pStyle w:val="813"/>
        <w:spacing w:line="480" w:lineRule="exact"/>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致：</w:t>
      </w:r>
      <w:r>
        <w:rPr>
          <w:rFonts w:hint="eastAsia" w:ascii="宋体" w:hAnsi="宋体" w:eastAsia="宋体" w:cs="宋体"/>
          <w:color w:val="000000"/>
          <w:szCs w:val="24"/>
          <w:highlight w:val="none"/>
          <w:lang w:eastAsia="zh-CN"/>
        </w:rPr>
        <w:t xml:space="preserve">连云港市环境卫生管理处</w:t>
      </w:r>
      <w:r>
        <w:rPr>
          <w:rFonts w:hint="eastAsia" w:ascii="宋体" w:hAnsi="宋体" w:eastAsia="宋体" w:cs="宋体"/>
          <w:color w:val="000000"/>
          <w:szCs w:val="24"/>
          <w:highlight w:val="none"/>
          <w:lang w:eastAsia="zh-CN"/>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根据贵方</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标段（标段编号：</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）采购文件，正式授权下述签字人</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全权代表</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参加贵方组织的采购活动，按照采购文件要求提交响应文件。</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据此函，签字人兹宣布同意如下：</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1.按采购文件项目需求提交响应报价，报价、交货期等详见开标一览表。</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2.我方同意在本标段采购文件中规定的响应文件递交截止之日起60天内遵守本响应文件中的承诺且在此期限期满之前均具有约束力。</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3.我方承诺已经具备《中华人民共和国政府采购法》中规定的参加政府采购活动的供应商应当具备的条件：</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(1)具有独立承担民事责任的能力；</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(2)具有良好的商业信誉和健全的财务会计制度；</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(3)具有履行合同所必需的设备和专业技术能力；</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(4)有依法缴纳税收和社会保障资金的良好记录；</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(5)参加此项采购活动前三年内，在经营活动中没有重大违法记录。</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4.我方根据采购文件的规定，承担完成合同的责任和义务。</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5.我方已详细审核采购文件，我方知道必须放弃提出含糊不清或误解问题的权利。</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6.如果在响应文件有效期内撤回或者有其他违约行为，我方的保证金可被贵方全部或部分没收。</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7.同意应贵方要求提供与本次采购活动有关的任何数据或资料。</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8.我方完全理解，最低报价不是中标（成交）的唯一条件。</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9.若贵方需要，我方愿意提供我方作出的一切承诺的证明材料。</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(1)提供虚假材料谋取中标、成交的；</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(2)采取不正当手段诋毁、排挤其他供应商的；</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(3)与采购人、其他供应商或者采购代理机构恶意串通的；</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(4)向采购人、采购代理机构行贿或者提供其他不正当利益的；</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(5)在招标采购过程中与采购人进行协商谈判的；</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(6)拒绝有关部门监督检查或提供虚假情况的。</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法定代表人或其委托代理人签字（或盖章）： 　　</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投标人公章： </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813"/>
        <w:ind w:firstLine="420"/>
        <w:spacing w:line="480" w:lineRule="exact"/>
        <w:rPr>
          <w:rFonts w:hint="eastAsia" w:ascii="宋体" w:hAnsi="宋体" w:eastAsia="宋体" w:cs="宋体"/>
          <w:color w:val="000000"/>
          <w:sz w:val="36"/>
          <w:szCs w:val="36"/>
          <w:highlight w:val="none"/>
          <w:lang w:val="zh-CN"/>
        </w:rPr>
      </w:pPr>
      <w:r>
        <w:rPr>
          <w:rFonts w:hint="eastAsia" w:ascii="宋体" w:hAnsi="宋体" w:eastAsia="宋体" w:cs="宋体"/>
          <w:color w:val="000000"/>
          <w:szCs w:val="24"/>
          <w:highlight w:val="none"/>
        </w:rPr>
        <w:t xml:space="preserve">注：未按照本响应函的格式要求填写的，将造成非实质响应，从而导致该供应商响应无效。</w:t>
      </w:r>
      <w:r>
        <w:rPr>
          <w:rFonts w:hint="eastAsia" w:ascii="宋体" w:hAnsi="宋体" w:eastAsia="宋体" w:cs="宋体"/>
          <w:color w:val="000000"/>
          <w:sz w:val="36"/>
          <w:szCs w:val="36"/>
          <w:highlight w:val="none"/>
          <w:lang w:val="zh-CN"/>
        </w:rPr>
      </w:r>
      <w:r/>
    </w:p>
    <w:p>
      <w:pPr>
        <w:pStyle w:val="813"/>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color w:val="000000"/>
          <w:sz w:val="24"/>
          <w:szCs w:val="24"/>
          <w:highlight w:val="none"/>
        </w:rPr>
        <w:t xml:space="preserve">格式2、开标一览表</w:t>
      </w:r>
      <w:r>
        <w:rPr>
          <w:rFonts w:hint="eastAsia" w:ascii="宋体" w:hAnsi="宋体" w:eastAsia="宋体" w:cs="宋体"/>
          <w:b/>
          <w:color w:val="000000"/>
          <w:sz w:val="28"/>
          <w:szCs w:val="20"/>
          <w:highlight w:val="none"/>
        </w:rPr>
      </w:r>
      <w:r/>
    </w:p>
    <w:p>
      <w:pPr>
        <w:pStyle w:val="813"/>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开标一览表</w:t>
      </w:r>
      <w:r>
        <w:rPr>
          <w:rFonts w:hint="eastAsia" w:ascii="宋体" w:hAnsi="宋体" w:eastAsia="宋体" w:cs="宋体"/>
          <w:bCs/>
          <w:color w:val="000000"/>
          <w:sz w:val="36"/>
          <w:szCs w:val="28"/>
          <w:highlight w:val="none"/>
        </w:rPr>
      </w:r>
      <w:r/>
    </w:p>
    <w:p>
      <w:pPr>
        <w:pStyle w:val="813"/>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标段编号： </w:t>
      </w:r>
      <w:r>
        <w:rPr>
          <w:rFonts w:hint="eastAsia" w:ascii="宋体" w:hAnsi="宋体" w:eastAsia="宋体" w:cs="宋体"/>
          <w:color w:val="000000"/>
          <w:sz w:val="24"/>
          <w:szCs w:val="24"/>
          <w:highlight w:val="none"/>
        </w:rPr>
      </w:r>
      <w:r/>
    </w:p>
    <w:p>
      <w:pPr>
        <w:pStyle w:val="813"/>
        <w:ind w:firstLine="7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color w:val="000000"/>
          <w:sz w:val="24"/>
          <w:szCs w:val="24"/>
          <w:highlight w:val="none"/>
          <w:lang w:eastAsia="zh-CN"/>
        </w:rPr>
        <w:t xml:space="preserve">环管处渗滤液第三方运行</w:t>
      </w:r>
      <w:r>
        <w:rPr>
          <w:rFonts w:hint="eastAsia" w:ascii="宋体" w:hAnsi="宋体" w:eastAsia="宋体" w:cs="宋体"/>
          <w:bCs/>
          <w:color w:val="000000"/>
          <w:sz w:val="24"/>
          <w:szCs w:val="24"/>
          <w:highlight w:val="none"/>
        </w:rPr>
      </w:r>
      <w:r/>
    </w:p>
    <w:p>
      <w:pPr>
        <w:pStyle w:val="813"/>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pPr w:horzAnchor="page" w:tblpX="1727" w:vertAnchor="text" w:tblpY="1477" w:leftFromText="180" w:topFromText="0" w:rightFromText="180" w:bottomFromText="0"/>
        <w:tblW w:w="88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14"/>
        <w:gridCol w:w="2214"/>
        <w:gridCol w:w="2214"/>
        <w:gridCol w:w="2214"/>
      </w:tblGrid>
      <w:tr>
        <w:trPr>
          <w:trHeight w:val="98"/>
        </w:trPr>
        <w:tc>
          <w:tcPr>
            <w:tcW w:w="2214" w:type="dxa"/>
            <w:vAlign w:val="center"/>
            <w:textDirection w:val="lrTb"/>
            <w:noWrap/>
          </w:tcPr>
          <w:p>
            <w:pPr>
              <w:pStyle w:val="813"/>
              <w:jc w:val="center"/>
              <w:spacing w:line="360" w:lineRule="auto"/>
              <w:rPr>
                <w:rFonts w:hint="eastAsia" w:ascii="宋体" w:hAnsi="宋体" w:eastAsia="宋体" w:cs="宋体"/>
                <w:b/>
                <w:bCs/>
                <w:color w:val="000000"/>
                <w:sz w:val="24"/>
                <w:szCs w:val="24"/>
                <w:highlight w:val="none"/>
              </w:rPr>
              <w:framePr w:vAnchor="text" w:hAnchor="page" w:x="1727" w:y="1477"/>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rPr>
            </w:r>
            <w:r/>
          </w:p>
        </w:tc>
        <w:tc>
          <w:tcPr>
            <w:tcW w:w="2214" w:type="dxa"/>
            <w:vAlign w:val="center"/>
            <w:textDirection w:val="lrTb"/>
            <w:noWrap/>
          </w:tcPr>
          <w:p>
            <w:pPr>
              <w:pStyle w:val="813"/>
              <w:jc w:val="center"/>
              <w:spacing w:line="360" w:lineRule="auto"/>
              <w:rPr>
                <w:rFonts w:hint="eastAsia" w:ascii="宋体" w:hAnsi="宋体" w:eastAsia="宋体" w:cs="宋体"/>
                <w:b/>
                <w:bCs/>
                <w:color w:val="000000"/>
                <w:sz w:val="24"/>
                <w:szCs w:val="24"/>
                <w:highlight w:val="none"/>
              </w:rPr>
              <w:framePr w:vAnchor="text" w:hAnchor="page" w:x="1727" w:y="1477"/>
            </w:pPr>
            <w:r>
              <w:rPr>
                <w:rFonts w:hint="eastAsia" w:ascii="宋体" w:hAnsi="宋体" w:eastAsia="宋体" w:cs="宋体"/>
                <w:b/>
                <w:bCs/>
                <w:color w:val="000000"/>
                <w:sz w:val="24"/>
                <w:szCs w:val="24"/>
                <w:highlight w:val="none"/>
              </w:rPr>
              <w:t xml:space="preserve">达标出水综合单价</w:t>
            </w:r>
            <w:r>
              <w:rPr>
                <w:rFonts w:hint="eastAsia" w:ascii="宋体" w:hAnsi="宋体" w:eastAsia="宋体" w:cs="宋体"/>
                <w:b/>
                <w:bCs/>
                <w:color w:val="000000"/>
                <w:sz w:val="24"/>
                <w:szCs w:val="24"/>
                <w:highlight w:val="none"/>
              </w:rPr>
            </w:r>
            <w:r/>
          </w:p>
        </w:tc>
        <w:tc>
          <w:tcPr>
            <w:tcW w:w="2214" w:type="dxa"/>
            <w:vAlign w:val="center"/>
            <w:textDirection w:val="lrTb"/>
            <w:noWrap/>
          </w:tcPr>
          <w:p>
            <w:pPr>
              <w:pStyle w:val="813"/>
              <w:jc w:val="center"/>
              <w:spacing w:line="360" w:lineRule="auto"/>
              <w:rPr>
                <w:rFonts w:hint="eastAsia" w:ascii="宋体" w:hAnsi="宋体" w:eastAsia="宋体" w:cs="宋体"/>
                <w:b/>
                <w:bCs/>
                <w:color w:val="000000"/>
                <w:sz w:val="24"/>
                <w:szCs w:val="24"/>
                <w:highlight w:val="none"/>
              </w:rPr>
              <w:framePr w:vAnchor="text" w:hAnchor="page" w:x="1727" w:y="1477"/>
            </w:pPr>
            <w:r>
              <w:rPr>
                <w:rFonts w:hint="eastAsia" w:ascii="宋体" w:hAnsi="宋体" w:eastAsia="宋体" w:cs="宋体"/>
                <w:b/>
                <w:bCs/>
                <w:color w:val="000000"/>
                <w:sz w:val="24"/>
                <w:szCs w:val="24"/>
                <w:highlight w:val="none"/>
              </w:rPr>
              <w:t xml:space="preserve">达标出水总量</w:t>
            </w:r>
            <w:r>
              <w:rPr>
                <w:rFonts w:hint="eastAsia" w:ascii="宋体" w:hAnsi="宋体" w:eastAsia="宋体" w:cs="宋体"/>
                <w:b/>
                <w:bCs/>
                <w:color w:val="000000"/>
                <w:sz w:val="24"/>
                <w:szCs w:val="24"/>
                <w:highlight w:val="none"/>
              </w:rPr>
            </w:r>
            <w:r/>
          </w:p>
        </w:tc>
        <w:tc>
          <w:tcPr>
            <w:tcW w:w="2214" w:type="dxa"/>
            <w:vAlign w:val="center"/>
            <w:textDirection w:val="lrTb"/>
            <w:noWrap/>
          </w:tcPr>
          <w:p>
            <w:pPr>
              <w:pStyle w:val="813"/>
              <w:jc w:val="center"/>
              <w:spacing w:line="360" w:lineRule="auto"/>
              <w:rPr>
                <w:rFonts w:hint="eastAsia" w:ascii="宋体" w:hAnsi="宋体" w:eastAsia="宋体" w:cs="宋体"/>
                <w:b/>
                <w:bCs/>
                <w:color w:val="000000"/>
                <w:sz w:val="24"/>
                <w:szCs w:val="24"/>
                <w:highlight w:val="none"/>
              </w:rPr>
              <w:framePr w:vAnchor="text" w:hAnchor="page" w:x="1727" w:y="1477"/>
            </w:pPr>
            <w:r>
              <w:rPr>
                <w:rFonts w:hint="eastAsia" w:ascii="宋体" w:hAnsi="宋体" w:eastAsia="宋体" w:cs="宋体"/>
                <w:b/>
                <w:bCs/>
                <w:color w:val="000000"/>
                <w:sz w:val="24"/>
                <w:szCs w:val="24"/>
                <w:highlight w:val="none"/>
              </w:rPr>
              <w:t xml:space="preserve">项目总费用</w:t>
            </w:r>
            <w:r>
              <w:rPr>
                <w:rFonts w:hint="eastAsia" w:ascii="宋体" w:hAnsi="宋体" w:eastAsia="宋体" w:cs="宋体"/>
                <w:b/>
                <w:bCs/>
                <w:color w:val="000000"/>
                <w:sz w:val="24"/>
                <w:szCs w:val="24"/>
                <w:highlight w:val="none"/>
              </w:rPr>
            </w:r>
            <w:r/>
          </w:p>
        </w:tc>
      </w:tr>
      <w:tr>
        <w:trPr>
          <w:trHeight w:val="1598"/>
        </w:trPr>
        <w:tc>
          <w:tcPr>
            <w:tcW w:w="2214" w:type="dxa"/>
            <w:vAlign w:val="bottom"/>
            <w:textDirection w:val="lrTb"/>
            <w:noWrap/>
          </w:tcPr>
          <w:p>
            <w:pPr>
              <w:pStyle w:val="813"/>
              <w:jc w:val="center"/>
              <w:spacing w:line="360" w:lineRule="auto"/>
              <w:rPr>
                <w:rFonts w:hint="eastAsia" w:ascii="宋体" w:hAnsi="宋体" w:eastAsia="宋体" w:cs="宋体"/>
                <w:color w:val="000000"/>
                <w:sz w:val="24"/>
                <w:szCs w:val="24"/>
                <w:highlight w:val="none"/>
              </w:rPr>
              <w:framePr w:vAnchor="text" w:hAnchor="page" w:x="1727" w:y="1477"/>
            </w:pPr>
            <w:r>
              <w:rPr>
                <w:rFonts w:hint="eastAsia" w:ascii="宋体" w:hAnsi="宋体" w:eastAsia="宋体" w:cs="宋体"/>
                <w:color w:val="000000"/>
                <w:sz w:val="24"/>
                <w:szCs w:val="24"/>
                <w:highlight w:val="none"/>
              </w:rPr>
              <w:t xml:space="preserve">渗滤液处理站第三方运行服务</w:t>
            </w:r>
            <w:r>
              <w:rPr>
                <w:rFonts w:hint="eastAsia" w:ascii="宋体" w:hAnsi="宋体" w:eastAsia="宋体" w:cs="宋体"/>
                <w:color w:val="000000"/>
                <w:sz w:val="24"/>
                <w:szCs w:val="24"/>
                <w:highlight w:val="none"/>
              </w:rPr>
            </w:r>
            <w:r/>
          </w:p>
        </w:tc>
        <w:tc>
          <w:tcPr>
            <w:tcW w:w="2214" w:type="dxa"/>
            <w:vAlign w:val="bottom"/>
            <w:textDirection w:val="lrTb"/>
            <w:noWrap/>
          </w:tcPr>
          <w:p>
            <w:pPr>
              <w:pStyle w:val="813"/>
              <w:jc w:val="center"/>
              <w:spacing w:line="360" w:lineRule="auto"/>
              <w:rPr>
                <w:rFonts w:hint="eastAsia" w:ascii="宋体" w:hAnsi="宋体" w:eastAsia="宋体" w:cs="宋体"/>
                <w:color w:val="000000"/>
                <w:sz w:val="24"/>
                <w:szCs w:val="24"/>
                <w:highlight w:val="none"/>
              </w:rPr>
              <w:framePr w:vAnchor="text" w:hAnchor="page" w:x="1727" w:y="1477"/>
            </w:pPr>
            <w:r>
              <w:rPr>
                <w:rFonts w:hint="eastAsia" w:ascii="宋体" w:hAnsi="宋体" w:eastAsia="宋体" w:cs="宋体"/>
                <w:color w:val="000000"/>
                <w:sz w:val="24"/>
                <w:szCs w:val="24"/>
                <w:highlight w:val="none"/>
              </w:rPr>
            </w:r>
            <w:r/>
          </w:p>
        </w:tc>
        <w:tc>
          <w:tcPr>
            <w:tcW w:w="2214" w:type="dxa"/>
            <w:vAlign w:val="bottom"/>
            <w:textDirection w:val="lrTb"/>
            <w:noWrap/>
          </w:tcPr>
          <w:p>
            <w:pPr>
              <w:pStyle w:val="813"/>
              <w:jc w:val="center"/>
              <w:spacing w:line="360" w:lineRule="auto"/>
              <w:rPr>
                <w:rFonts w:hint="eastAsia" w:ascii="宋体" w:hAnsi="宋体" w:eastAsia="宋体" w:cs="宋体"/>
                <w:color w:val="000000"/>
                <w:sz w:val="24"/>
                <w:szCs w:val="24"/>
                <w:highlight w:val="none"/>
              </w:rPr>
              <w:framePr w:vAnchor="text" w:hAnchor="page" w:x="1727" w:y="1477"/>
            </w:pPr>
            <w:r>
              <w:rPr>
                <w:rFonts w:hint="eastAsia" w:ascii="宋体" w:hAnsi="宋体" w:eastAsia="宋体" w:cs="宋体"/>
                <w:color w:val="000000"/>
                <w:sz w:val="24"/>
                <w:szCs w:val="24"/>
                <w:highlight w:val="none"/>
              </w:rPr>
            </w:r>
            <w:r/>
          </w:p>
        </w:tc>
        <w:tc>
          <w:tcPr>
            <w:tcW w:w="2214" w:type="dxa"/>
            <w:vAlign w:val="center"/>
            <w:textDirection w:val="lrTb"/>
            <w:noWrap/>
          </w:tcPr>
          <w:p>
            <w:pPr>
              <w:pStyle w:val="813"/>
              <w:jc w:val="center"/>
              <w:spacing w:line="360" w:lineRule="auto"/>
              <w:rPr>
                <w:rFonts w:hint="eastAsia" w:ascii="宋体" w:hAnsi="宋体" w:eastAsia="宋体" w:cs="宋体"/>
                <w:color w:val="000000"/>
                <w:sz w:val="24"/>
                <w:szCs w:val="24"/>
                <w:highlight w:val="none"/>
                <w:lang w:val="en-US" w:eastAsia="zh-CN"/>
              </w:rPr>
              <w:framePr w:vAnchor="text" w:hAnchor="page" w:x="1727" w:y="1477"/>
            </w:pPr>
            <w:r>
              <w:rPr>
                <w:rFonts w:hint="eastAsia" w:ascii="宋体" w:hAnsi="宋体" w:eastAsia="宋体" w:cs="宋体"/>
                <w:color w:val="000000"/>
                <w:sz w:val="24"/>
                <w:szCs w:val="24"/>
                <w:highlight w:val="none"/>
                <w:lang w:val="en-US" w:eastAsia="zh-CN"/>
              </w:rPr>
            </w:r>
            <w:r/>
          </w:p>
        </w:tc>
      </w:tr>
    </w:tbl>
    <w:p>
      <w:pPr>
        <w:pStyle w:val="81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ind w:firstLine="420"/>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 w:val="28"/>
          <w:szCs w:val="28"/>
          <w:highlight w:val="none"/>
        </w:rPr>
        <w:t xml:space="preserve">注：达标出水综合单价大于</w:t>
      </w:r>
      <w:r>
        <w:rPr>
          <w:rFonts w:hint="eastAsia" w:ascii="宋体" w:hAnsi="宋体" w:eastAsia="宋体" w:cs="宋体"/>
          <w:b/>
          <w:bCs/>
          <w:color w:val="000000"/>
          <w:sz w:val="28"/>
          <w:szCs w:val="28"/>
          <w:highlight w:val="none"/>
          <w:lang w:val="en-US" w:eastAsia="zh-CN"/>
        </w:rPr>
        <w:t xml:space="preserve">166.25</w:t>
      </w:r>
      <w:r>
        <w:rPr>
          <w:rFonts w:hint="eastAsia" w:ascii="宋体" w:hAnsi="宋体" w:eastAsia="宋体" w:cs="宋体"/>
          <w:b/>
          <w:bCs/>
          <w:color w:val="000000"/>
          <w:sz w:val="28"/>
          <w:szCs w:val="28"/>
          <w:highlight w:val="none"/>
        </w:rPr>
        <w:t xml:space="preserve">元/吨作废标处理。</w:t>
      </w:r>
      <w:r>
        <w:rPr>
          <w:rFonts w:hint="eastAsia" w:ascii="宋体" w:hAnsi="宋体" w:eastAsia="宋体" w:cs="宋体"/>
          <w:b/>
          <w:bCs/>
          <w:color w:val="000000"/>
          <w:szCs w:val="24"/>
          <w:highlight w:val="none"/>
        </w:rPr>
      </w:r>
      <w:r/>
    </w:p>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投标人（盖章）：</w:t>
      </w:r>
      <w:r>
        <w:rPr>
          <w:rFonts w:hint="eastAsia" w:ascii="宋体" w:hAnsi="宋体" w:eastAsia="宋体" w:cs="宋体"/>
          <w:color w:val="000000"/>
          <w:szCs w:val="24"/>
          <w:highlight w:val="none"/>
        </w:rPr>
      </w:r>
      <w:r/>
    </w:p>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法定代表人或委托代理人（签字或盖章）：</w:t>
      </w:r>
      <w:r>
        <w:rPr>
          <w:rFonts w:hint="eastAsia" w:ascii="宋体" w:hAnsi="宋体" w:eastAsia="宋体" w:cs="宋体"/>
          <w:color w:val="000000"/>
          <w:szCs w:val="24"/>
          <w:highlight w:val="none"/>
        </w:rPr>
      </w:r>
      <w:r/>
    </w:p>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keepNext/>
        <w:spacing w:line="360" w:lineRule="auto"/>
        <w:rPr>
          <w:rFonts w:hint="eastAsia" w:ascii="宋体" w:hAnsi="宋体" w:eastAsia="宋体" w:cs="宋体"/>
          <w:color w:val="000000"/>
          <w:sz w:val="32"/>
          <w:szCs w:val="20"/>
          <w:highlight w:val="none"/>
        </w:rPr>
        <w:outlineLvl w:val="1"/>
      </w:pPr>
      <w:r>
        <w:rPr>
          <w:rFonts w:hint="eastAsia" w:ascii="宋体" w:hAnsi="宋体" w:eastAsia="宋体" w:cs="宋体"/>
          <w:color w:val="000000"/>
          <w:sz w:val="32"/>
          <w:szCs w:val="20"/>
          <w:highlight w:val="none"/>
        </w:rPr>
        <w:br w:type="page" w:clear="all"/>
      </w:r>
      <w:r>
        <w:rPr>
          <w:rFonts w:hint="eastAsia" w:ascii="宋体" w:hAnsi="宋体" w:eastAsia="宋体" w:cs="宋体"/>
          <w:color w:val="000000"/>
          <w:sz w:val="24"/>
          <w:szCs w:val="24"/>
          <w:highlight w:val="none"/>
        </w:rPr>
        <w:t xml:space="preserve">格式3、报价明细表</w:t>
      </w:r>
      <w:r>
        <w:rPr>
          <w:rFonts w:hint="eastAsia" w:ascii="宋体" w:hAnsi="宋体" w:eastAsia="宋体" w:cs="宋体"/>
          <w:color w:val="000000"/>
          <w:sz w:val="32"/>
          <w:szCs w:val="20"/>
          <w:highlight w:val="none"/>
        </w:rPr>
      </w:r>
      <w:r/>
    </w:p>
    <w:p>
      <w:pPr>
        <w:pStyle w:val="813"/>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报价明细表</w:t>
      </w:r>
      <w:r>
        <w:rPr>
          <w:rFonts w:hint="eastAsia" w:ascii="宋体" w:hAnsi="宋体" w:eastAsia="宋体" w:cs="宋体"/>
          <w:bCs/>
          <w:color w:val="000000"/>
          <w:sz w:val="36"/>
          <w:szCs w:val="28"/>
          <w:highlight w:val="none"/>
        </w:rPr>
      </w:r>
      <w:r/>
    </w:p>
    <w:p>
      <w:pPr>
        <w:pStyle w:val="813"/>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标段编号：</w:t>
      </w:r>
      <w:r>
        <w:rPr>
          <w:rFonts w:hint="eastAsia" w:ascii="宋体" w:hAnsi="宋体" w:eastAsia="宋体" w:cs="宋体"/>
          <w:color w:val="000000"/>
          <w:sz w:val="24"/>
          <w:szCs w:val="24"/>
          <w:highlight w:val="none"/>
        </w:rPr>
      </w:r>
      <w:r/>
    </w:p>
    <w:p>
      <w:pPr>
        <w:pStyle w:val="813"/>
        <w:jc w:val="left"/>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color w:val="000000"/>
          <w:sz w:val="24"/>
          <w:szCs w:val="24"/>
          <w:highlight w:val="none"/>
          <w:lang w:eastAsia="zh-CN"/>
        </w:rPr>
        <w:t xml:space="preserve">环管处渗滤液第三方运行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Cs w:val="24"/>
          <w:highlight w:val="none"/>
        </w:rPr>
      </w:r>
      <w:r/>
    </w:p>
    <w:p>
      <w:pPr>
        <w:pStyle w:val="813"/>
        <w:ind w:right="96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单位：元</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trHeight w:val="501"/>
        </w:trPr>
        <w:tc>
          <w:tcPr>
            <w:tcW w:w="959"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产品、服务名称</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分项单位</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单项</w:t>
            </w:r>
            <w:r>
              <w:rPr>
                <w:rFonts w:hint="eastAsia" w:ascii="宋体" w:hAnsi="宋体" w:eastAsia="宋体" w:cs="宋体"/>
                <w:color w:val="000000"/>
                <w:sz w:val="24"/>
                <w:szCs w:val="24"/>
                <w:highlight w:val="none"/>
              </w:rPr>
            </w:r>
            <w:r/>
          </w:p>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合计价</w:t>
            </w: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gridSpan w:val="5"/>
            <w:tcW w:w="6629"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总计（元）</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1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投标人（盖章）：</w:t>
      </w:r>
      <w:r>
        <w:rPr>
          <w:rFonts w:hint="eastAsia" w:ascii="宋体" w:hAnsi="宋体" w:eastAsia="宋体" w:cs="宋体"/>
          <w:color w:val="000000"/>
          <w:szCs w:val="24"/>
          <w:highlight w:val="none"/>
        </w:rPr>
      </w:r>
      <w:r/>
    </w:p>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法定代表人或委托代理人（签字或盖章）：</w:t>
      </w:r>
      <w:r>
        <w:rPr>
          <w:rFonts w:hint="eastAsia" w:ascii="宋体" w:hAnsi="宋体" w:eastAsia="宋体" w:cs="宋体"/>
          <w:color w:val="000000"/>
          <w:szCs w:val="24"/>
          <w:highlight w:val="none"/>
        </w:rPr>
      </w:r>
      <w:r/>
    </w:p>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813"/>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81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价格构成或报价要求：</w:t>
      </w:r>
      <w:r>
        <w:rPr>
          <w:rFonts w:hint="eastAsia" w:ascii="宋体" w:hAnsi="宋体" w:eastAsia="宋体" w:cs="宋体"/>
          <w:b/>
          <w:color w:val="000000"/>
          <w:sz w:val="24"/>
          <w:szCs w:val="24"/>
          <w:highlight w:val="none"/>
        </w:rPr>
      </w:r>
      <w:r/>
    </w:p>
    <w:p>
      <w:pPr>
        <w:pStyle w:val="813"/>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供应商根据项目需求提供报价明细表。</w:t>
      </w:r>
      <w:r>
        <w:rPr>
          <w:rFonts w:hint="eastAsia" w:ascii="宋体" w:hAnsi="宋体" w:eastAsia="宋体" w:cs="宋体"/>
          <w:color w:val="000000"/>
          <w:sz w:val="24"/>
          <w:szCs w:val="24"/>
          <w:highlight w:val="none"/>
          <w:lang w:val="en-US" w:eastAsia="zh-CN"/>
        </w:rPr>
      </w:r>
      <w:r/>
    </w:p>
    <w:p>
      <w:pPr>
        <w:pStyle w:val="81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2、此表可以根据需要自行增减行数。</w:t>
      </w:r>
      <w:r>
        <w:rPr>
          <w:rFonts w:hint="eastAsia" w:ascii="宋体" w:hAnsi="宋体" w:eastAsia="宋体" w:cs="宋体"/>
          <w:color w:val="000000"/>
          <w:sz w:val="24"/>
          <w:szCs w:val="24"/>
          <w:highlight w:val="none"/>
        </w:rPr>
      </w:r>
      <w:r/>
    </w:p>
    <w:p>
      <w:pPr>
        <w:pStyle w:val="815"/>
        <w:numPr>
          <w:ilvl w:val="0"/>
          <w:numId w:val="0"/>
        </w:numPr>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val="0"/>
          <w:color w:val="000000"/>
          <w:sz w:val="24"/>
          <w:szCs w:val="24"/>
          <w:highlight w:val="none"/>
        </w:rPr>
        <w:t xml:space="preserve">格式4、财务状况报告及税收、社会保障资金缴纳情况承诺函</w:t>
      </w:r>
      <w:r>
        <w:rPr>
          <w:rFonts w:hint="eastAsia" w:ascii="宋体" w:hAnsi="宋体" w:eastAsia="宋体" w:cs="宋体"/>
          <w:color w:val="000000"/>
          <w:highlight w:val="none"/>
        </w:rPr>
      </w:r>
      <w:r/>
    </w:p>
    <w:p>
      <w:pPr>
        <w:pStyle w:val="813"/>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r>
      <w:r/>
    </w:p>
    <w:p>
      <w:pPr>
        <w:pStyle w:val="813"/>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财务状况报告及税收、社会保障资金缴纳情况承诺函</w:t>
      </w:r>
      <w:r>
        <w:rPr>
          <w:rFonts w:hint="eastAsia" w:ascii="宋体" w:hAnsi="宋体" w:eastAsia="宋体" w:cs="宋体"/>
          <w:bCs/>
          <w:color w:val="000000"/>
          <w:sz w:val="36"/>
          <w:szCs w:val="28"/>
          <w:highlight w:val="none"/>
        </w:rPr>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【采购单位】</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w:t>
      </w:r>
      <w:r>
        <w:rPr>
          <w:rFonts w:hint="eastAsia" w:ascii="宋体" w:hAnsi="宋体" w:eastAsia="宋体" w:cs="宋体"/>
          <w:color w:val="000000"/>
          <w:sz w:val="24"/>
          <w:szCs w:val="24"/>
          <w:highlight w:val="none"/>
          <w:u w:val="single"/>
        </w:rPr>
        <w:t xml:space="preserve"> 供应商名称 </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rPr>
        <w:t xml:space="preserve">【标段名称】</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【标段编号】</w:t>
      </w:r>
      <w:r>
        <w:rPr>
          <w:rFonts w:hint="eastAsia" w:ascii="宋体" w:hAnsi="宋体" w:eastAsia="宋体" w:cs="宋体"/>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（1）具有良好的商业信誉和健全的财务会计制度（财务状况报告）；</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（2）有依法缴纳税收和社会保障资金的良好记录。</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13"/>
        <w:keepNext/>
        <w:spacing w:line="360" w:lineRule="auto"/>
        <w:rPr>
          <w:rFonts w:hint="eastAsia" w:ascii="宋体" w:hAnsi="宋体" w:eastAsia="宋体" w:cs="宋体"/>
          <w:color w:val="000000"/>
          <w:sz w:val="24"/>
          <w:szCs w:val="24"/>
          <w:highlight w:val="none"/>
        </w:rPr>
        <w:sectPr>
          <w:footerReference w:type="default" r:id="rId18"/>
          <w:footnotePr/>
          <w:endnotePr/>
          <w:type w:val="nextPage"/>
          <w:pgSz w:w="11906" w:h="16838" w:orient="portrait"/>
          <w:pgMar w:top="1134" w:right="1134" w:bottom="1134" w:left="1134" w:header="720" w:footer="720" w:gutter="0"/>
          <w:cols w:num="1" w:sep="0" w:space="1701" w:equalWidth="1"/>
          <w:docGrid w:linePitch="360"/>
        </w:sectPr>
        <w:outlineLvl w:val="1"/>
      </w:pPr>
      <w:r>
        <w:rPr>
          <w:rFonts w:hint="eastAsia" w:ascii="宋体" w:hAnsi="宋体" w:eastAsia="宋体" w:cs="宋体"/>
          <w:color w:val="000000"/>
          <w:sz w:val="24"/>
          <w:szCs w:val="24"/>
          <w:highlight w:val="none"/>
        </w:rPr>
      </w:r>
      <w:r/>
    </w:p>
    <w:p>
      <w:pPr>
        <w:pStyle w:val="813"/>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4"/>
          <w:szCs w:val="24"/>
          <w:highlight w:val="none"/>
        </w:rPr>
        <w:t xml:space="preserve">格式5、中小企业声明函</w:t>
      </w:r>
      <w:r>
        <w:rPr>
          <w:rFonts w:hint="eastAsia" w:ascii="宋体" w:hAnsi="宋体" w:eastAsia="宋体" w:cs="宋体"/>
          <w:b/>
          <w:color w:val="000000"/>
          <w:sz w:val="28"/>
          <w:szCs w:val="20"/>
          <w:highlight w:val="none"/>
        </w:rPr>
      </w:r>
      <w:r/>
    </w:p>
    <w:p>
      <w:pPr>
        <w:pStyle w:val="813"/>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中小企业声明函</w:t>
      </w:r>
      <w:r>
        <w:rPr>
          <w:rFonts w:hint="eastAsia" w:ascii="宋体" w:hAnsi="宋体" w:eastAsia="宋体" w:cs="宋体"/>
          <w:bCs/>
          <w:color w:val="000000"/>
          <w:sz w:val="36"/>
          <w:szCs w:val="28"/>
          <w:highlight w:val="none"/>
        </w:rPr>
      </w:r>
      <w:r/>
    </w:p>
    <w:p>
      <w:pPr>
        <w:pStyle w:val="813"/>
        <w:jc w:val="both"/>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采购活动，服务全部由符合政策要求的中小企业承接。</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 </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 </w:t>
      </w:r>
      <w:r>
        <w:rPr>
          <w:rFonts w:hint="eastAsia" w:ascii="宋体" w:hAnsi="宋体" w:eastAsia="宋体" w:cs="宋体"/>
          <w:color w:val="000000"/>
          <w:sz w:val="24"/>
          <w:szCs w:val="24"/>
          <w:highlight w:val="none"/>
        </w:rPr>
      </w:r>
      <w:r/>
    </w:p>
    <w:p>
      <w:pPr>
        <w:pStyle w:val="813"/>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813"/>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right="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13"/>
        <w:ind w:right="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13"/>
        <w:ind w:right="48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13"/>
        <w:ind w:right="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13"/>
        <w:ind w:right="48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填报说明：</w:t>
      </w:r>
      <w:r>
        <w:rPr>
          <w:rFonts w:hint="eastAsia" w:ascii="宋体" w:hAnsi="宋体" w:eastAsia="宋体" w:cs="宋体"/>
          <w:color w:val="000000"/>
          <w:sz w:val="24"/>
          <w:szCs w:val="24"/>
          <w:highlight w:val="none"/>
        </w:rPr>
      </w:r>
      <w:r/>
    </w:p>
    <w:p>
      <w:pPr>
        <w:pStyle w:val="813"/>
        <w:ind w:right="48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w:t>
      </w:r>
      <w:r>
        <w:rPr>
          <w:rFonts w:hint="eastAsia" w:ascii="宋体" w:hAnsi="宋体" w:eastAsia="宋体" w:cs="宋体"/>
          <w:color w:val="000000"/>
          <w:sz w:val="24"/>
          <w:highlight w:val="none"/>
        </w:rPr>
        <w:t xml:space="preserve">填报上一年度数据，无上一年度数据的新成立企业可不填报。</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2、请供应商如实填写，所填内容将作为评审的依据。其内容填写须与报价明细表一致，如填写不完整或不一致，将不享受扶持政策。</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3、中标供应商的《中小企业声明函》随中标结果公开。</w:t>
      </w:r>
      <w:r>
        <w:rPr>
          <w:rFonts w:hint="eastAsia" w:ascii="宋体" w:hAnsi="宋体" w:eastAsia="宋体" w:cs="宋体"/>
          <w:b/>
          <w:color w:val="000000"/>
          <w:sz w:val="24"/>
          <w:szCs w:val="24"/>
          <w:highlight w:val="none"/>
        </w:rPr>
      </w:r>
      <w:r/>
    </w:p>
    <w:p>
      <w:pPr>
        <w:pStyle w:val="813"/>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813"/>
        <w:keepNext/>
        <w:spacing w:line="360" w:lineRule="auto"/>
        <w:rPr>
          <w:rFonts w:hint="eastAsia" w:ascii="宋体" w:hAnsi="宋体" w:eastAsia="宋体" w:cs="宋体"/>
          <w:color w:val="000000"/>
          <w:sz w:val="24"/>
          <w:szCs w:val="24"/>
          <w:highlight w:val="non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hint="eastAsia" w:ascii="宋体" w:hAnsi="宋体" w:eastAsia="宋体" w:cs="宋体"/>
          <w:color w:val="000000"/>
          <w:sz w:val="24"/>
          <w:szCs w:val="24"/>
          <w:highlight w:val="none"/>
        </w:rPr>
      </w:r>
      <w:r/>
    </w:p>
    <w:p>
      <w:pPr>
        <w:pStyle w:val="813"/>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4"/>
          <w:szCs w:val="24"/>
          <w:highlight w:val="none"/>
        </w:rPr>
        <w:t xml:space="preserve">格式6、残疾人福利性企业声明函</w:t>
      </w:r>
      <w:r>
        <w:rPr>
          <w:rFonts w:hint="eastAsia" w:ascii="宋体" w:hAnsi="宋体" w:eastAsia="宋体" w:cs="宋体"/>
          <w:b/>
          <w:color w:val="000000"/>
          <w:sz w:val="28"/>
          <w:szCs w:val="20"/>
          <w:highlight w:val="none"/>
        </w:rPr>
      </w:r>
      <w:r/>
    </w:p>
    <w:p>
      <w:pPr>
        <w:pStyle w:val="813"/>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残疾人福利性单位声明函</w:t>
      </w:r>
      <w:r>
        <w:rPr>
          <w:rFonts w:hint="eastAsia" w:ascii="宋体" w:hAnsi="宋体" w:eastAsia="宋体" w:cs="宋体"/>
          <w:bCs/>
          <w:color w:val="000000"/>
          <w:sz w:val="36"/>
          <w:szCs w:val="28"/>
          <w:highlight w:val="none"/>
        </w:rPr>
      </w:r>
      <w:r/>
    </w:p>
    <w:p>
      <w:pPr>
        <w:pStyle w:val="813"/>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u w:val="single"/>
        </w:rPr>
        <w:t xml:space="preserve">（货物名称）</w:t>
      </w:r>
      <w:r>
        <w:rPr>
          <w:rFonts w:hint="eastAsia" w:ascii="宋体" w:hAnsi="宋体" w:eastAsia="宋体" w:cs="宋体"/>
          <w:color w:val="000000"/>
          <w:sz w:val="24"/>
          <w:szCs w:val="24"/>
          <w:highlight w:val="none"/>
        </w:rPr>
        <w:t xml:space="preserve"> ，制造商为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，属于残疾人福利性单位； </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（货物名称）</w:t>
      </w:r>
      <w:r>
        <w:rPr>
          <w:rFonts w:hint="eastAsia" w:ascii="宋体" w:hAnsi="宋体" w:eastAsia="宋体" w:cs="宋体"/>
          <w:color w:val="000000"/>
          <w:sz w:val="24"/>
          <w:szCs w:val="24"/>
          <w:highlight w:val="none"/>
        </w:rPr>
        <w:t xml:space="preserve"> ，制造商为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，属于残疾人福利性单位；</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 </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企业名称(盖章)：</w:t>
      </w:r>
      <w:r>
        <w:rPr>
          <w:rFonts w:hint="eastAsia" w:ascii="宋体" w:hAnsi="宋体" w:eastAsia="宋体" w:cs="宋体"/>
          <w:color w:val="000000"/>
          <w:sz w:val="24"/>
          <w:szCs w:val="24"/>
          <w:highlight w:val="none"/>
        </w:rPr>
      </w:r>
      <w:r/>
    </w:p>
    <w:p>
      <w:pPr>
        <w:pStyle w:val="813"/>
        <w:ind w:firstLine="480"/>
        <w:spacing w:line="588" w:lineRule="exact"/>
        <w:rPr>
          <w:rFonts w:hint="eastAsia" w:ascii="宋体" w:hAnsi="宋体" w:eastAsia="宋体" w:cs="宋体"/>
          <w:b/>
          <w:color w:val="000000"/>
          <w:sz w:val="22"/>
          <w:szCs w:val="21"/>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b/>
          <w:color w:val="000000"/>
          <w:sz w:val="22"/>
          <w:szCs w:val="21"/>
          <w:highlight w:val="none"/>
        </w:rPr>
      </w:r>
      <w:r/>
    </w:p>
    <w:p>
      <w:pPr>
        <w:pStyle w:val="813"/>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813"/>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813"/>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813"/>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813"/>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813"/>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填报说明：</w:t>
      </w:r>
      <w:r>
        <w:rPr>
          <w:rFonts w:hint="eastAsia" w:ascii="宋体" w:hAnsi="宋体" w:eastAsia="宋体" w:cs="宋体"/>
          <w:bCs/>
          <w:color w:val="000000"/>
          <w:sz w:val="24"/>
          <w:szCs w:val="24"/>
          <w:highlight w:val="none"/>
        </w:rPr>
      </w:r>
      <w:r/>
    </w:p>
    <w:p>
      <w:pPr>
        <w:pStyle w:val="813"/>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1、请供应商如实填写，所填内容将作为评审的依据。</w:t>
      </w:r>
      <w:r>
        <w:rPr>
          <w:rFonts w:hint="eastAsia" w:ascii="宋体" w:hAnsi="宋体" w:eastAsia="宋体" w:cs="宋体"/>
          <w:color w:val="000000"/>
          <w:sz w:val="24"/>
          <w:szCs w:val="24"/>
          <w:highlight w:val="none"/>
        </w:rPr>
        <w:t xml:space="preserve">其内容填写须与报价明细表一致，如填写不完整或不一致，将不享受扶</w:t>
      </w:r>
      <w:r>
        <w:rPr>
          <w:rFonts w:hint="eastAsia" w:ascii="宋体" w:hAnsi="宋体" w:eastAsia="宋体" w:cs="宋体"/>
          <w:bCs/>
          <w:color w:val="000000"/>
          <w:sz w:val="24"/>
          <w:szCs w:val="24"/>
          <w:highlight w:val="none"/>
        </w:rPr>
        <w:t xml:space="preserve">持政策。</w:t>
      </w:r>
      <w:r>
        <w:rPr>
          <w:rFonts w:hint="eastAsia" w:ascii="宋体" w:hAnsi="宋体" w:eastAsia="宋体" w:cs="宋体"/>
          <w:bCs/>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2、中标供应商的《残疾人福利性单位声明函》随中标结果公开。</w:t>
      </w:r>
      <w:r>
        <w:rPr>
          <w:rFonts w:hint="eastAsia" w:ascii="宋体" w:hAnsi="宋体" w:eastAsia="宋体" w:cs="宋体"/>
          <w:color w:val="000000"/>
          <w:sz w:val="24"/>
          <w:szCs w:val="24"/>
          <w:highlight w:val="none"/>
        </w:rPr>
      </w:r>
      <w:r/>
    </w:p>
    <w:p>
      <w:pPr>
        <w:pStyle w:val="813"/>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、关于符合本国产品标准的声明函</w:t>
      </w:r>
      <w:r>
        <w:rPr>
          <w:rFonts w:hint="eastAsia" w:ascii="宋体" w:hAnsi="宋体" w:eastAsia="宋体" w:cs="宋体"/>
          <w:b/>
          <w:color w:val="000000"/>
          <w:sz w:val="28"/>
          <w:szCs w:val="20"/>
          <w:highlight w:val="none"/>
        </w:rPr>
      </w:r>
      <w:r/>
    </w:p>
    <w:p>
      <w:pPr>
        <w:pStyle w:val="813"/>
        <w:jc w:val="center"/>
        <w:spacing w:line="360" w:lineRule="auto"/>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813"/>
        <w:jc w:val="center"/>
        <w:spacing w:line="360" w:lineRule="auto"/>
        <w:rPr>
          <w:rFonts w:hint="eastAsia" w:ascii="宋体" w:hAnsi="宋体" w:eastAsia="宋体" w:cs="宋体"/>
          <w:i/>
          <w:color w:val="000000"/>
          <w:sz w:val="28"/>
          <w:szCs w:val="28"/>
          <w:highlight w:val="none"/>
          <w:u w:val="single"/>
        </w:rPr>
      </w:pPr>
      <w:r>
        <w:rPr>
          <w:rFonts w:hint="eastAsia" w:ascii="宋体" w:hAnsi="宋体" w:eastAsia="宋体" w:cs="宋体"/>
          <w:bCs/>
          <w:color w:val="000000"/>
          <w:sz w:val="36"/>
          <w:szCs w:val="28"/>
          <w:highlight w:val="none"/>
        </w:rPr>
        <w:t xml:space="preserve">关于符合本国产品标准的声明函</w:t>
      </w:r>
      <w:r>
        <w:rPr>
          <w:rFonts w:hint="eastAsia" w:ascii="宋体" w:hAnsi="宋体" w:eastAsia="宋体" w:cs="宋体"/>
          <w:i/>
          <w:color w:val="000000"/>
          <w:sz w:val="28"/>
          <w:szCs w:val="28"/>
          <w:highlight w:val="none"/>
          <w:u w:val="single"/>
        </w:rPr>
      </w:r>
      <w:r/>
    </w:p>
    <w:p>
      <w:pPr>
        <w:pStyle w:val="813"/>
        <w:ind w:firstLine="420"/>
        <w:jc w:val="left"/>
        <w:spacing w:before="0" w:beforeAutospacing="0" w:after="0" w:afterAutospacing="0" w:line="360" w:lineRule="auto"/>
        <w:rPr>
          <w:rFonts w:hint="eastAsia" w:ascii="宋体" w:hAnsi="宋体" w:eastAsia="宋体" w:cs="宋体"/>
          <w:color w:val="000000"/>
          <w:szCs w:val="24"/>
          <w:highlight w:val="none"/>
          <w:lang w:val="en-US" w:eastAsia="zh-CN" w:bidi="ar-SA"/>
        </w:rPr>
      </w:pPr>
      <w:r>
        <w:rPr>
          <w:rFonts w:hint="eastAsia" w:ascii="宋体" w:hAnsi="宋体" w:eastAsia="宋体" w:cs="宋体"/>
          <w:color w:val="000000"/>
          <w:szCs w:val="24"/>
          <w:highlight w:val="none"/>
          <w:lang w:val="en-US" w:eastAsia="zh-CN" w:bidi="ar-SA"/>
        </w:rPr>
      </w:r>
      <w:r/>
    </w:p>
    <w:p>
      <w:pPr>
        <w:pStyle w:val="813"/>
        <w:ind w:firstLine="420"/>
        <w:jc w:val="left"/>
        <w:spacing w:before="0" w:beforeAutospacing="0" w:after="0" w:afterAutospacing="0" w:line="360" w:lineRule="auto"/>
        <w:rPr>
          <w:rFonts w:hint="eastAsia" w:ascii="宋体" w:hAnsi="宋体" w:eastAsia="宋体" w:cs="宋体"/>
          <w:color w:val="000000"/>
          <w:szCs w:val="24"/>
          <w:highlight w:val="none"/>
          <w:lang w:val="en-US" w:eastAsia="zh-CN" w:bidi="ar-SA"/>
        </w:rPr>
      </w:pPr>
      <w:r>
        <w:rPr>
          <w:rFonts w:hint="eastAsia" w:ascii="宋体" w:hAnsi="宋体" w:eastAsia="宋体" w:cs="宋体"/>
          <w:color w:val="000000"/>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Cs w:val="24"/>
          <w:highlight w:val="none"/>
          <w:lang w:val="en-US" w:eastAsia="zh-CN" w:bidi="ar-SA"/>
        </w:rPr>
      </w:r>
      <w:r/>
    </w:p>
    <w:p>
      <w:pPr>
        <w:pStyle w:val="813"/>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1"/>
          <w:szCs w:val="24"/>
          <w:highlight w:val="none"/>
          <w:u w:val="single"/>
          <w:shd w:val="clear" w:color="auto" w:fill="ffffff"/>
          <w:lang w:val="en-US" w:eastAsia="zh-CN" w:bidi="ar-SA"/>
        </w:rPr>
        <w:t xml:space="preserve">（厂名）</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813"/>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1"/>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813"/>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13"/>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highlight w:val="none"/>
          <w:lang w:val="en-US" w:eastAsia="zh-CN" w:bidi="ar-SA"/>
        </w:rPr>
      </w:r>
      <w:r/>
    </w:p>
    <w:p>
      <w:pPr>
        <w:pStyle w:val="813"/>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13"/>
        <w:ind w:right="480"/>
        <w:jc w:val="left"/>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公司（单位）名称（盖章）：　                                          </w:t>
      </w:r>
      <w:r>
        <w:rPr>
          <w:rFonts w:hint="eastAsia" w:ascii="宋体" w:hAnsi="宋体" w:eastAsia="宋体" w:cs="宋体"/>
          <w:color w:val="000000"/>
          <w:sz w:val="24"/>
          <w:szCs w:val="24"/>
          <w:highlight w:val="none"/>
          <w:shd w:val="clear" w:color="auto" w:fill="ffffff"/>
          <w:lang w:val="en-US" w:eastAsia="zh-CN" w:bidi="ar-SA"/>
        </w:rPr>
      </w:r>
      <w:r/>
    </w:p>
    <w:p>
      <w:pPr>
        <w:pStyle w:val="813"/>
        <w:ind w:right="48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日期：　   年　  月　  日         </w:t>
      </w:r>
      <w:r>
        <w:rPr>
          <w:rFonts w:hint="eastAsia" w:ascii="宋体" w:hAnsi="宋体" w:eastAsia="宋体" w:cs="宋体"/>
          <w:color w:val="000000"/>
          <w:sz w:val="24"/>
          <w:szCs w:val="24"/>
          <w:highlight w:val="none"/>
          <w:lang w:val="en-US" w:eastAsia="zh-CN" w:bidi="ar-SA"/>
        </w:rPr>
      </w:r>
      <w:r/>
    </w:p>
    <w:p>
      <w:pPr>
        <w:pStyle w:val="813"/>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813"/>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813"/>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highlight w:val="none"/>
          <w:lang w:val="en-US" w:eastAsia="zh-CN" w:bidi="ar-SA"/>
        </w:rPr>
      </w:r>
      <w:r/>
    </w:p>
    <w:p>
      <w:pPr>
        <w:pStyle w:val="813"/>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highlight w:val="none"/>
          <w:lang w:val="en-US" w:eastAsia="zh-CN" w:bidi="ar-SA"/>
        </w:rPr>
      </w:r>
      <w:r/>
    </w:p>
    <w:p>
      <w:pPr>
        <w:pStyle w:val="813"/>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en-US" w:eastAsia="zh-CN" w:bidi="ar-SA"/>
        </w:rPr>
      </w:r>
      <w:r/>
    </w:p>
    <w:p>
      <w:pPr>
        <w:pStyle w:val="813"/>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highlight w:val="none"/>
          <w:lang w:val="en-US" w:eastAsia="zh-CN" w:bidi="ar-SA"/>
        </w:rPr>
      </w:r>
      <w:r/>
    </w:p>
    <w:p>
      <w:pPr>
        <w:pStyle w:val="813"/>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lang w:val="en-US" w:eastAsia="zh-CN" w:bidi="ar-SA"/>
        </w:rPr>
      </w:r>
      <w:r/>
    </w:p>
    <w:p>
      <w:pPr>
        <w:pStyle w:val="813"/>
        <w:jc w:val="left"/>
        <w:keepLines w:val="0"/>
        <w:keepNext w:val="0"/>
        <w:pageBreakBefore w:val="0"/>
        <w:spacing w:line="360" w:lineRule="auto"/>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6.用斜线划除的地方无需填写。</w:t>
      </w:r>
      <w:r>
        <w:rPr>
          <w:rFonts w:hint="eastAsia" w:ascii="宋体" w:hAnsi="宋体" w:eastAsia="宋体" w:cs="宋体"/>
          <w:color w:val="000000"/>
          <w:sz w:val="24"/>
          <w:szCs w:val="24"/>
          <w:highlight w:val="none"/>
          <w:shd w:val="clear" w:color="auto" w:fill="ffffff"/>
          <w:lang w:val="en-US" w:eastAsia="zh-CN" w:bidi="ar-SA"/>
        </w:rPr>
      </w:r>
      <w:r/>
    </w:p>
    <w:p>
      <w:pPr>
        <w:pStyle w:val="813"/>
        <w:jc w:val="left"/>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7.请投标人如实填写，如填写有误，将承担一切不利后果。</w:t>
      </w:r>
      <w:r>
        <w:rPr>
          <w:rFonts w:hint="eastAsia" w:ascii="宋体" w:hAnsi="宋体" w:eastAsia="宋体" w:cs="宋体"/>
          <w:color w:val="000000"/>
          <w:sz w:val="24"/>
          <w:szCs w:val="24"/>
          <w:highlight w:val="none"/>
          <w:lang w:val="en-US" w:eastAsia="zh-CN" w:bidi="ar-SA"/>
        </w:rPr>
      </w:r>
      <w:r/>
    </w:p>
    <w:p>
      <w:pPr>
        <w:pStyle w:val="813"/>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8.投标人提供虚假《声明函》、虚假证明文件谋取中标的，依照《中华人民共和国政府采购法》等法律法规规定追究相应责任。</w:t>
      </w:r>
      <w:r>
        <w:rPr>
          <w:rFonts w:hint="eastAsia" w:ascii="宋体" w:hAnsi="宋体" w:eastAsia="宋体" w:cs="宋体"/>
          <w:color w:val="000000"/>
          <w:sz w:val="24"/>
          <w:szCs w:val="24"/>
          <w:highlight w:val="none"/>
          <w:lang w:val="en-US" w:eastAsia="zh-CN" w:bidi="ar-SA"/>
        </w:rPr>
      </w:r>
      <w:r/>
    </w:p>
    <w:p>
      <w:pPr>
        <w:pStyle w:val="813"/>
        <w:rPr>
          <w:rFonts w:ascii="宋体" w:hAnsi="宋体" w:eastAsia="宋体" w:cs="宋体"/>
          <w:b/>
          <w:bCs/>
          <w:color w:val="000000"/>
          <w:sz w:val="31"/>
          <w:szCs w:val="31"/>
          <w:highlight w:val="none"/>
          <w:lang w:bidi="ar"/>
        </w:rPr>
      </w:pPr>
      <w:r>
        <w:rPr>
          <w:rFonts w:hint="eastAsia" w:ascii="宋体" w:hAnsi="宋体" w:eastAsia="宋体" w:cs="宋体"/>
          <w:color w:val="000000"/>
          <w:sz w:val="24"/>
          <w:szCs w:val="24"/>
          <w:highlight w:val="none"/>
          <w:shd w:val="clear" w:color="auto" w:fill="ffffff"/>
          <w:lang w:val="en-US" w:eastAsia="zh-CN" w:bidi="ar-SA"/>
        </w:rPr>
        <w:t xml:space="preserve">9.</w:t>
      </w:r>
      <w:r>
        <w:rPr>
          <w:rFonts w:hint="eastAsia" w:ascii="宋体" w:hAnsi="宋体" w:eastAsia="宋体" w:cs="宋体"/>
          <w:color w:val="000000"/>
          <w:sz w:val="24"/>
          <w:szCs w:val="24"/>
          <w:highlight w:val="none"/>
          <w:lang w:val="en-US" w:eastAsia="zh-CN" w:bidi="ar-SA"/>
        </w:rPr>
        <w:t xml:space="preserve">中标人的《声明函》或有关证明文件随中标结果公开，接受社会监督</w:t>
      </w:r>
      <w:r>
        <w:rPr>
          <w:rFonts w:ascii="宋体" w:hAnsi="宋体" w:eastAsia="宋体" w:cs="宋体"/>
          <w:b/>
          <w:bCs/>
          <w:color w:val="000000"/>
          <w:sz w:val="31"/>
          <w:szCs w:val="31"/>
          <w:highlight w:val="none"/>
          <w:lang w:bidi="ar"/>
        </w:rPr>
      </w:r>
      <w:r/>
    </w:p>
    <w:p>
      <w:pPr>
        <w:pStyle w:val="813"/>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、具备履行合同所必需的设备和专业技术能力的声明</w:t>
      </w:r>
      <w:r>
        <w:rPr>
          <w:rFonts w:hint="eastAsia" w:ascii="宋体" w:hAnsi="宋体" w:eastAsia="宋体" w:cs="宋体"/>
          <w:b/>
          <w:color w:val="000000"/>
          <w:sz w:val="28"/>
          <w:szCs w:val="20"/>
          <w:highlight w:val="none"/>
        </w:rPr>
      </w:r>
      <w:r/>
    </w:p>
    <w:p>
      <w:pPr>
        <w:pStyle w:val="813"/>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具备履行合同所必需的设备和专业技术能力的声明</w:t>
      </w:r>
      <w:r>
        <w:rPr>
          <w:rFonts w:hint="eastAsia" w:ascii="宋体" w:hAnsi="宋体" w:eastAsia="宋体" w:cs="宋体"/>
          <w:bCs/>
          <w:color w:val="000000"/>
          <w:sz w:val="36"/>
          <w:szCs w:val="28"/>
          <w:highlight w:val="none"/>
        </w:rPr>
      </w:r>
      <w:r/>
    </w:p>
    <w:p>
      <w:pPr>
        <w:pStyle w:val="81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rPr>
        <w:t xml:space="preserve">郑重声明：我单位具备履行本项采购合同所必需的设备和专业技术能力，为履行本项采购合同我单位具备如下主要设备和主要专业技术能力：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。（须附证明材料）</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。（须附证明材料）</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5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声明人（盖章）：</w:t>
      </w:r>
      <w:r>
        <w:rPr>
          <w:rFonts w:hint="eastAsia" w:ascii="宋体" w:hAnsi="宋体" w:eastAsia="宋体" w:cs="宋体"/>
          <w:color w:val="000000"/>
          <w:sz w:val="24"/>
          <w:szCs w:val="24"/>
          <w:highlight w:val="none"/>
        </w:rPr>
      </w:r>
      <w:r/>
    </w:p>
    <w:p>
      <w:pPr>
        <w:pStyle w:val="813"/>
        <w:ind w:firstLine="5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13"/>
        <w:ind w:firstLine="422"/>
        <w:spacing w:line="46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13"/>
        <w:ind w:firstLine="422"/>
        <w:spacing w:line="46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13"/>
        <w:ind w:firstLine="422"/>
        <w:spacing w:line="46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13"/>
        <w:ind w:firstLine="422"/>
        <w:spacing w:line="46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13"/>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、参加政府采购活动前 3 年内在经营活动中没有重大违法记录的书面声明</w:t>
      </w:r>
      <w:r>
        <w:rPr>
          <w:rFonts w:hint="eastAsia" w:ascii="宋体" w:hAnsi="宋体" w:eastAsia="宋体" w:cs="宋体"/>
          <w:b/>
          <w:color w:val="000000"/>
          <w:sz w:val="28"/>
          <w:szCs w:val="20"/>
          <w:highlight w:val="none"/>
        </w:rPr>
      </w:r>
      <w:r/>
    </w:p>
    <w:p>
      <w:pPr>
        <w:pStyle w:val="813"/>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声  明</w:t>
      </w:r>
      <w:r>
        <w:rPr>
          <w:rFonts w:hint="eastAsia" w:ascii="宋体" w:hAnsi="宋体" w:eastAsia="宋体" w:cs="宋体"/>
          <w:bCs/>
          <w:color w:val="000000"/>
          <w:sz w:val="36"/>
          <w:szCs w:val="28"/>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13"/>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、法定代表人授权委托书与法定代表人（单位负责人）身份证明</w:t>
      </w:r>
      <w:r>
        <w:rPr>
          <w:rFonts w:hint="eastAsia" w:ascii="宋体" w:hAnsi="宋体" w:eastAsia="宋体" w:cs="宋体"/>
          <w:b/>
          <w:color w:val="000000"/>
          <w:sz w:val="28"/>
          <w:szCs w:val="20"/>
          <w:highlight w:val="none"/>
        </w:rPr>
      </w:r>
      <w:r/>
    </w:p>
    <w:p>
      <w:pPr>
        <w:pStyle w:val="813"/>
        <w:ind w:firstLine="72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r>
      <w:r/>
    </w:p>
    <w:p>
      <w:pPr>
        <w:pStyle w:val="813"/>
        <w:ind w:firstLine="72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法定代表人授权委托书</w:t>
      </w:r>
      <w:r>
        <w:rPr>
          <w:rFonts w:hint="eastAsia" w:ascii="宋体" w:hAnsi="宋体" w:eastAsia="宋体" w:cs="宋体"/>
          <w:bCs/>
          <w:color w:val="000000"/>
          <w:sz w:val="36"/>
          <w:szCs w:val="28"/>
          <w:highlight w:val="none"/>
        </w:rPr>
      </w:r>
      <w:r/>
    </w:p>
    <w:p>
      <w:pPr>
        <w:pStyle w:val="813"/>
        <w:ind w:firstLine="420"/>
        <w:spacing w:line="500" w:lineRule="exact"/>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813"/>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连云港市环境卫生管理处</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（委托单位全称） </w:t>
      </w:r>
      <w:r>
        <w:rPr>
          <w:rFonts w:hint="eastAsia" w:ascii="宋体" w:hAnsi="宋体" w:eastAsia="宋体" w:cs="宋体"/>
          <w:color w:val="000000"/>
          <w:sz w:val="24"/>
          <w:szCs w:val="24"/>
          <w:highlight w:val="none"/>
        </w:rPr>
        <w:t xml:space="preserve">的法定代表人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代表本公司授权</w:t>
      </w:r>
      <w:r>
        <w:rPr>
          <w:rFonts w:hint="eastAsia" w:ascii="宋体" w:hAnsi="宋体" w:eastAsia="宋体" w:cs="宋体"/>
          <w:color w:val="000000"/>
          <w:sz w:val="24"/>
          <w:szCs w:val="24"/>
          <w:highlight w:val="none"/>
          <w:u w:val="single"/>
        </w:rPr>
        <w:t xml:space="preserve">（姓名和职务）</w:t>
      </w:r>
      <w:r>
        <w:rPr>
          <w:rFonts w:hint="eastAsia" w:ascii="宋体" w:hAnsi="宋体" w:eastAsia="宋体" w:cs="宋体"/>
          <w:color w:val="000000"/>
          <w:sz w:val="24"/>
          <w:szCs w:val="24"/>
          <w:highlight w:val="none"/>
        </w:rPr>
        <w:t xml:space="preserve">为本公司合法代理人，就贵方组织的有关</w:t>
      </w:r>
      <w:r>
        <w:rPr>
          <w:rFonts w:hint="eastAsia" w:ascii="宋体" w:hAnsi="宋体" w:eastAsia="宋体" w:cs="宋体"/>
          <w:color w:val="000000"/>
          <w:sz w:val="24"/>
          <w:szCs w:val="24"/>
          <w:highlight w:val="none"/>
          <w:u w:val="single"/>
          <w:lang w:eastAsia="zh-CN"/>
        </w:rPr>
        <w:t xml:space="preserve">环管处渗滤液第三方运行</w:t>
      </w:r>
      <w:r>
        <w:rPr>
          <w:rFonts w:hint="eastAsia" w:ascii="宋体" w:hAnsi="宋体" w:eastAsia="宋体" w:cs="宋体"/>
          <w:color w:val="000000"/>
          <w:sz w:val="24"/>
          <w:szCs w:val="24"/>
          <w:highlight w:val="none"/>
        </w:rPr>
        <w:t xml:space="preserve">（标段编号：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）的招标采购及合同签订、执行、完成，以本单位名义处理一切与之有关的事务。</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pacing w:val="1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日签字（或盖章）生效，特此声明。</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委托单位（盖章）：                      法定代表人（签字或盖章）：</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签发日期：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1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附法定代表人与委托代理人身份证明正反面电子件。</w:t>
      </w:r>
      <w:r>
        <w:rPr>
          <w:rFonts w:hint="eastAsia" w:ascii="宋体" w:hAnsi="宋体" w:eastAsia="宋体" w:cs="宋体"/>
          <w:b/>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1．委托书内容填写应当明确、文字工整清楚，涂改无效。</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2．委托书不得转借、转让、买卖。</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3．委托代理人根据授权范围，以委托单位的名义签订合同，并将此委托书提交给对方作为合同附件。</w:t>
      </w:r>
      <w:r>
        <w:rPr>
          <w:rFonts w:hint="eastAsia" w:ascii="宋体" w:hAnsi="宋体" w:eastAsia="宋体" w:cs="宋体"/>
          <w:color w:val="000000"/>
          <w:sz w:val="24"/>
          <w:szCs w:val="24"/>
          <w:highlight w:val="none"/>
        </w:rPr>
      </w:r>
      <w:r/>
    </w:p>
    <w:p>
      <w:pPr>
        <w:pStyle w:val="89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8"/>
        <w:rPr>
          <w:rFonts w:hint="eastAsia" w:ascii="宋体" w:hAnsi="宋体" w:eastAsia="宋体" w:cs="宋体"/>
          <w:color w:val="000000"/>
          <w:sz w:val="24"/>
          <w:highlight w:val="none"/>
        </w:rPr>
        <w:sectPr>
          <w:footnotePr/>
          <w:endnotePr/>
          <w:type w:val="nextPage"/>
          <w:pgSz w:w="11906" w:h="16838" w:orient="portrait"/>
          <w:pgMar w:top="1134" w:right="1134" w:bottom="1134" w:left="1134" w:header="720" w:footer="720" w:gutter="0"/>
          <w:cols w:num="1" w:sep="0" w:space="1701" w:equalWidth="1"/>
          <w:docGrid w:linePitch="360"/>
        </w:sectPr>
      </w:pPr>
      <w:r>
        <w:rPr>
          <w:rFonts w:hint="eastAsia" w:ascii="宋体" w:hAnsi="宋体" w:eastAsia="宋体" w:cs="宋体"/>
          <w:color w:val="000000"/>
          <w:sz w:val="24"/>
          <w:highlight w:val="none"/>
        </w:rPr>
      </w:r>
      <w:r/>
    </w:p>
    <w:p>
      <w:pPr>
        <w:pStyle w:val="89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3"/>
        <w:jc w:val="center"/>
        <w:spacing w:line="36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法定代表人（单位负责人）身份证明</w:t>
      </w:r>
      <w:r>
        <w:rPr>
          <w:rFonts w:hint="eastAsia" w:ascii="宋体" w:hAnsi="宋体" w:eastAsia="宋体" w:cs="宋体"/>
          <w:b/>
          <w:color w:val="000000"/>
          <w:sz w:val="36"/>
          <w:szCs w:val="36"/>
          <w:highlight w:val="none"/>
        </w:rPr>
      </w:r>
      <w:r/>
    </w:p>
    <w:p>
      <w:pPr>
        <w:pStyle w:val="813"/>
        <w:spacing w:line="20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813"/>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致：【采购单位】</w:t>
      </w:r>
      <w:r>
        <w:rPr>
          <w:rFonts w:hint="eastAsia" w:ascii="宋体" w:hAnsi="宋体" w:eastAsia="宋体" w:cs="宋体"/>
          <w:color w:val="000000"/>
          <w:sz w:val="24"/>
          <w:highlight w:val="none"/>
        </w:rPr>
      </w:r>
      <w:r/>
    </w:p>
    <w:p>
      <w:pPr>
        <w:pStyle w:val="813"/>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兹证明，</w:t>
      </w:r>
      <w:r>
        <w:rPr>
          <w:rFonts w:hint="eastAsia" w:ascii="宋体" w:hAnsi="宋体" w:eastAsia="宋体" w:cs="宋体"/>
          <w:color w:val="000000"/>
          <w:sz w:val="24"/>
          <w:highlight w:val="none"/>
        </w:rPr>
      </w:r>
      <w:r/>
    </w:p>
    <w:p>
      <w:pPr>
        <w:pStyle w:val="813"/>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姓名：____性别：____年龄：____职务：____</w:t>
      </w:r>
      <w:r>
        <w:rPr>
          <w:rFonts w:hint="eastAsia" w:ascii="宋体" w:hAnsi="宋体" w:eastAsia="宋体" w:cs="宋体"/>
          <w:color w:val="000000"/>
          <w:sz w:val="24"/>
          <w:highlight w:val="none"/>
        </w:rPr>
      </w:r>
      <w:r/>
    </w:p>
    <w:p>
      <w:pPr>
        <w:pStyle w:val="81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3"/>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（投标人名称）的法定代表人（单位负责人）。</w:t>
      </w:r>
      <w:r>
        <w:rPr>
          <w:rFonts w:hint="eastAsia" w:ascii="宋体" w:hAnsi="宋体" w:eastAsia="宋体" w:cs="宋体"/>
          <w:color w:val="000000"/>
          <w:sz w:val="24"/>
          <w:highlight w:val="none"/>
        </w:rPr>
      </w:r>
      <w:r/>
    </w:p>
    <w:p>
      <w:pPr>
        <w:pStyle w:val="81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3"/>
        <w:ind w:right="-46"/>
        <w:spacing w:before="120" w:line="583" w:lineRule="auto"/>
        <w:tabs>
          <w:tab w:val="left" w:pos="567" w:leader="none"/>
        </w:tabs>
        <w:rPr>
          <w:rFonts w:hint="eastAsia" w:ascii="宋体" w:hAnsi="宋体" w:eastAsia="宋体" w:cs="宋体"/>
          <w:color w:val="000000"/>
          <w:spacing w:val="-3"/>
          <w:sz w:val="24"/>
          <w:highlight w:val="none"/>
        </w:rPr>
      </w:pPr>
      <w:r>
        <w:rPr>
          <w:rFonts w:hint="eastAsia" w:ascii="宋体" w:hAnsi="宋体" w:eastAsia="宋体" w:cs="宋体"/>
          <w:color w:val="000000"/>
          <w:sz w:val="24"/>
          <w:highlight w:val="none"/>
        </w:rPr>
        <w:t xml:space="preserve">附：</w:t>
      </w:r>
      <w:r>
        <w:rPr>
          <w:rFonts w:hint="eastAsia" w:ascii="宋体" w:hAnsi="宋体" w:eastAsia="宋体" w:cs="宋体"/>
          <w:color w:val="000000"/>
          <w:spacing w:val="-3"/>
          <w:sz w:val="24"/>
          <w:highlight w:val="none"/>
        </w:rPr>
        <w:t xml:space="preserve">法</w:t>
      </w:r>
      <w:r>
        <w:rPr>
          <w:rFonts w:hint="eastAsia" w:ascii="宋体" w:hAnsi="宋体" w:eastAsia="宋体" w:cs="宋体"/>
          <w:color w:val="000000"/>
          <w:sz w:val="24"/>
          <w:highlight w:val="none"/>
        </w:rPr>
        <w:t xml:space="preserve">定</w:t>
      </w:r>
      <w:r>
        <w:rPr>
          <w:rFonts w:hint="eastAsia" w:ascii="宋体" w:hAnsi="宋体" w:eastAsia="宋体" w:cs="宋体"/>
          <w:color w:val="000000"/>
          <w:spacing w:val="-3"/>
          <w:sz w:val="24"/>
          <w:highlight w:val="none"/>
        </w:rPr>
        <w:t xml:space="preserve">代</w:t>
      </w:r>
      <w:r>
        <w:rPr>
          <w:rFonts w:hint="eastAsia" w:ascii="宋体" w:hAnsi="宋体" w:eastAsia="宋体" w:cs="宋体"/>
          <w:color w:val="000000"/>
          <w:sz w:val="24"/>
          <w:highlight w:val="none"/>
        </w:rPr>
        <w:t xml:space="preserve">表</w:t>
      </w:r>
      <w:r>
        <w:rPr>
          <w:rFonts w:hint="eastAsia" w:ascii="宋体" w:hAnsi="宋体" w:eastAsia="宋体" w:cs="宋体"/>
          <w:color w:val="000000"/>
          <w:spacing w:val="-3"/>
          <w:sz w:val="24"/>
          <w:highlight w:val="none"/>
        </w:rPr>
        <w:t xml:space="preserve">人</w:t>
      </w:r>
      <w:r>
        <w:rPr>
          <w:rFonts w:hint="eastAsia" w:ascii="宋体" w:hAnsi="宋体" w:eastAsia="宋体" w:cs="宋体"/>
          <w:color w:val="000000"/>
          <w:sz w:val="24"/>
          <w:highlight w:val="none"/>
        </w:rPr>
        <w:t xml:space="preserve">（</w:t>
      </w:r>
      <w:r>
        <w:rPr>
          <w:rFonts w:hint="eastAsia" w:ascii="宋体" w:hAnsi="宋体" w:eastAsia="宋体" w:cs="宋体"/>
          <w:color w:val="000000"/>
          <w:spacing w:val="-3"/>
          <w:sz w:val="24"/>
          <w:highlight w:val="none"/>
        </w:rPr>
        <w:t xml:space="preserve">单</w:t>
      </w:r>
      <w:r>
        <w:rPr>
          <w:rFonts w:hint="eastAsia" w:ascii="宋体" w:hAnsi="宋体" w:eastAsia="宋体" w:cs="宋体"/>
          <w:color w:val="000000"/>
          <w:sz w:val="24"/>
          <w:highlight w:val="none"/>
        </w:rPr>
        <w:t xml:space="preserve">位</w:t>
      </w:r>
      <w:r>
        <w:rPr>
          <w:rFonts w:hint="eastAsia" w:ascii="宋体" w:hAnsi="宋体" w:eastAsia="宋体" w:cs="宋体"/>
          <w:color w:val="000000"/>
          <w:spacing w:val="-3"/>
          <w:sz w:val="24"/>
          <w:highlight w:val="none"/>
        </w:rPr>
        <w:t xml:space="preserve">负</w:t>
      </w:r>
      <w:r>
        <w:rPr>
          <w:rFonts w:hint="eastAsia" w:ascii="宋体" w:hAnsi="宋体" w:eastAsia="宋体" w:cs="宋体"/>
          <w:color w:val="000000"/>
          <w:sz w:val="24"/>
          <w:highlight w:val="none"/>
        </w:rPr>
        <w:t xml:space="preserve">责人</w:t>
      </w:r>
      <w:r>
        <w:rPr>
          <w:rFonts w:hint="eastAsia" w:ascii="宋体" w:hAnsi="宋体" w:eastAsia="宋体" w:cs="宋体"/>
          <w:color w:val="000000"/>
          <w:spacing w:val="-3"/>
          <w:sz w:val="24"/>
          <w:highlight w:val="none"/>
        </w:rPr>
        <w:t xml:space="preserve">）有效期内的身份证正反面电子件。</w:t>
      </w:r>
      <w:r>
        <w:rPr>
          <w:rFonts w:hint="eastAsia" w:ascii="宋体" w:hAnsi="宋体" w:eastAsia="宋体" w:cs="宋体"/>
          <w:color w:val="000000"/>
          <w:spacing w:val="-3"/>
          <w:sz w:val="24"/>
          <w:highlight w:val="none"/>
        </w:rPr>
      </w:r>
      <w:r/>
    </w:p>
    <w:p>
      <w:pPr>
        <w:pStyle w:val="813"/>
        <w:ind w:right="4305"/>
        <w:spacing w:before="120" w:line="583" w:lineRule="auto"/>
        <w:tabs>
          <w:tab w:val="left" w:pos="567" w:leader="none"/>
        </w:tabs>
        <w:rPr>
          <w:rFonts w:hint="eastAsia" w:ascii="宋体" w:hAnsi="宋体" w:eastAsia="宋体" w:cs="宋体"/>
          <w:color w:val="000000"/>
          <w:spacing w:val="-3"/>
          <w:sz w:val="24"/>
          <w:highlight w:val="none"/>
        </w:rPr>
      </w:pPr>
      <w:r>
        <w:rPr>
          <w:rFonts w:hint="eastAsia" w:ascii="宋体" w:hAnsi="宋体" w:eastAsia="宋体" w:cs="宋体"/>
          <w:color w:val="000000"/>
          <w:spacing w:val="-3"/>
          <w:sz w:val="24"/>
          <w:highlight w:val="none"/>
        </w:rPr>
      </w:r>
      <w:r/>
    </w:p>
    <w:p>
      <w:pPr>
        <w:pStyle w:val="813"/>
        <w:ind w:right="4305"/>
        <w:spacing w:before="120" w:line="583" w:lineRule="auto"/>
        <w:tabs>
          <w:tab w:val="left" w:pos="567" w:leader="none"/>
        </w:tabs>
        <w:rPr>
          <w:rFonts w:hint="eastAsia" w:ascii="宋体" w:hAnsi="宋体" w:eastAsia="宋体" w:cs="宋体"/>
          <w:color w:val="000000"/>
          <w:spacing w:val="-3"/>
          <w:sz w:val="24"/>
          <w:highlight w:val="none"/>
        </w:rPr>
      </w:pPr>
      <w:r>
        <w:rPr>
          <w:rFonts w:hint="eastAsia" w:ascii="宋体" w:hAnsi="宋体" w:eastAsia="宋体" w:cs="宋体"/>
          <w:color w:val="000000"/>
          <w:spacing w:val="-3"/>
          <w:sz w:val="24"/>
          <w:highlight w:val="none"/>
        </w:rPr>
      </w:r>
      <w:r/>
    </w:p>
    <w:p>
      <w:pPr>
        <w:pStyle w:val="813"/>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：________________</w:t>
      </w:r>
      <w:r>
        <w:rPr>
          <w:rFonts w:hint="eastAsia" w:ascii="宋体" w:hAnsi="宋体" w:eastAsia="宋体" w:cs="宋体"/>
          <w:color w:val="000000"/>
          <w:sz w:val="24"/>
          <w:highlight w:val="none"/>
          <w:lang w:val="zh-CN"/>
        </w:rPr>
      </w:r>
      <w:r/>
    </w:p>
    <w:p>
      <w:pPr>
        <w:pStyle w:val="813"/>
        <w:ind w:right="95"/>
        <w:spacing w:before="120" w:line="583" w:lineRule="auto"/>
        <w:tabs>
          <w:tab w:val="left" w:pos="567" w:leader="none"/>
        </w:tabs>
        <w:rPr>
          <w:rFonts w:hint="eastAsia" w:ascii="宋体" w:hAnsi="宋体" w:eastAsia="宋体" w:cs="宋体"/>
          <w:color w:val="000000"/>
          <w:spacing w:val="-3"/>
          <w:sz w:val="24"/>
          <w:highlight w:val="none"/>
        </w:rPr>
      </w:pPr>
      <w:r>
        <w:rPr>
          <w:rFonts w:hint="eastAsia" w:ascii="宋体" w:hAnsi="宋体" w:eastAsia="宋体" w:cs="宋体"/>
          <w:color w:val="000000"/>
          <w:spacing w:val="-3"/>
          <w:sz w:val="24"/>
          <w:highlight w:val="none"/>
        </w:rPr>
        <w:t xml:space="preserve">法定代表人（</w:t>
      </w:r>
      <w:r>
        <w:rPr>
          <w:rFonts w:hint="eastAsia" w:ascii="宋体" w:hAnsi="宋体" w:eastAsia="宋体" w:cs="宋体"/>
          <w:color w:val="000000"/>
          <w:sz w:val="24"/>
          <w:highlight w:val="none"/>
        </w:rPr>
        <w:t xml:space="preserve">单位负责人</w:t>
      </w:r>
      <w:r>
        <w:rPr>
          <w:rFonts w:hint="eastAsia" w:ascii="宋体" w:hAnsi="宋体" w:eastAsia="宋体" w:cs="宋体"/>
          <w:color w:val="000000"/>
          <w:spacing w:val="-3"/>
          <w:sz w:val="24"/>
          <w:highlight w:val="none"/>
        </w:rPr>
        <w:t xml:space="preserve">）（签字、签章或印鉴）：_______</w:t>
      </w:r>
      <w:r>
        <w:rPr>
          <w:rFonts w:hint="eastAsia" w:ascii="宋体" w:hAnsi="宋体" w:eastAsia="宋体" w:cs="宋体"/>
          <w:color w:val="000000"/>
          <w:spacing w:val="-3"/>
          <w:sz w:val="24"/>
          <w:highlight w:val="none"/>
        </w:rPr>
      </w:r>
      <w:r/>
    </w:p>
    <w:p>
      <w:pPr>
        <w:pStyle w:val="81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3"/>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lang w:val="zh-CN"/>
        </w:rPr>
      </w:r>
      <w:r/>
    </w:p>
    <w:p>
      <w:pPr>
        <w:pStyle w:val="898"/>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42"/>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keepNext/>
        <w:spacing w:line="360" w:lineRule="auto"/>
        <w:rPr>
          <w:rFonts w:hint="eastAsia" w:ascii="宋体" w:hAnsi="宋体" w:eastAsia="宋体" w:cs="宋体"/>
          <w:bCs/>
          <w:color w:val="000000"/>
          <w:sz w:val="32"/>
          <w:szCs w:val="21"/>
          <w:highlight w:val="none"/>
        </w:rPr>
        <w:outlineLvl w:val="1"/>
      </w:pP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、商务条款偏离表</w:t>
      </w:r>
      <w:r>
        <w:rPr>
          <w:rFonts w:hint="eastAsia" w:ascii="宋体" w:hAnsi="宋体" w:eastAsia="宋体" w:cs="宋体"/>
          <w:bCs/>
          <w:color w:val="000000"/>
          <w:sz w:val="32"/>
          <w:szCs w:val="21"/>
          <w:highlight w:val="none"/>
        </w:rPr>
      </w:r>
      <w:r/>
    </w:p>
    <w:p>
      <w:pPr>
        <w:pStyle w:val="813"/>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商务条款偏离表</w:t>
      </w:r>
      <w:r>
        <w:rPr>
          <w:rFonts w:hint="eastAsia" w:ascii="宋体" w:hAnsi="宋体" w:eastAsia="宋体" w:cs="宋体"/>
          <w:bCs/>
          <w:color w:val="000000"/>
          <w:sz w:val="36"/>
          <w:szCs w:val="28"/>
          <w:highlight w:val="none"/>
        </w:rPr>
      </w:r>
      <w:r/>
    </w:p>
    <w:p>
      <w:pPr>
        <w:pStyle w:val="813"/>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请逐条对应采购文件“项目需求”等内容要求的商务条件，填写该表。</w:t>
      </w:r>
      <w:r>
        <w:rPr>
          <w:rFonts w:hint="eastAsia" w:ascii="宋体" w:hAnsi="宋体" w:eastAsia="宋体" w:cs="宋体"/>
          <w:b/>
          <w:bCs/>
          <w:color w:val="000000"/>
          <w:sz w:val="24"/>
          <w:szCs w:val="24"/>
          <w:highlight w:val="none"/>
        </w:rPr>
      </w:r>
      <w:r/>
    </w:p>
    <w:tbl>
      <w:tblPr>
        <w:tblW w:w="92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81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项号</w:t>
            </w:r>
            <w:r>
              <w:rPr>
                <w:rFonts w:hint="eastAsia" w:ascii="宋体" w:hAnsi="宋体" w:eastAsia="宋体" w:cs="宋体"/>
                <w:color w:val="000000"/>
                <w:sz w:val="24"/>
                <w:szCs w:val="24"/>
                <w:highlight w:val="none"/>
              </w:rPr>
            </w:r>
            <w:r/>
          </w:p>
        </w:tc>
        <w:tc>
          <w:tcPr>
            <w:tcW w:w="2774" w:type="dxa"/>
            <w:vAlign w:val="center"/>
            <w:textDirection w:val="lrTb"/>
            <w:noWrap w:val="false"/>
          </w:tcPr>
          <w:p>
            <w:pPr>
              <w:pStyle w:val="81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采购文件的商务条款</w:t>
            </w:r>
            <w:r>
              <w:rPr>
                <w:rFonts w:hint="eastAsia" w:ascii="宋体" w:hAnsi="宋体" w:eastAsia="宋体" w:cs="宋体"/>
                <w:color w:val="000000"/>
                <w:sz w:val="24"/>
                <w:szCs w:val="24"/>
                <w:highlight w:val="none"/>
              </w:rPr>
            </w:r>
            <w:r/>
          </w:p>
        </w:tc>
        <w:tc>
          <w:tcPr>
            <w:tcW w:w="2927" w:type="dxa"/>
            <w:vAlign w:val="center"/>
            <w:textDirection w:val="lrTb"/>
            <w:noWrap w:val="false"/>
          </w:tcPr>
          <w:p>
            <w:pPr>
              <w:pStyle w:val="81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响应文件的商务条款</w:t>
            </w:r>
            <w:r>
              <w:rPr>
                <w:rFonts w:hint="eastAsia" w:ascii="宋体" w:hAnsi="宋体" w:eastAsia="宋体" w:cs="宋体"/>
                <w:color w:val="000000"/>
                <w:sz w:val="24"/>
                <w:szCs w:val="24"/>
                <w:highlight w:val="none"/>
              </w:rPr>
            </w:r>
            <w:r/>
          </w:p>
        </w:tc>
        <w:tc>
          <w:tcPr>
            <w:tcW w:w="2444" w:type="dxa"/>
            <w:vAlign w:val="center"/>
            <w:textDirection w:val="lrTb"/>
            <w:noWrap w:val="false"/>
          </w:tcPr>
          <w:p>
            <w:pPr>
              <w:pStyle w:val="81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13"/>
        <w:ind w:firstLine="480"/>
        <w:spacing w:line="400" w:lineRule="exact"/>
        <w:rPr>
          <w:rFonts w:hint="eastAsia" w:ascii="宋体" w:hAnsi="宋体" w:eastAsia="宋体" w:cs="宋体"/>
          <w:color w:val="000000"/>
          <w:szCs w:val="20"/>
          <w:highlight w:val="none"/>
        </w:rPr>
      </w:pPr>
      <w:r>
        <w:rPr>
          <w:rFonts w:hint="eastAsia" w:ascii="宋体" w:hAnsi="宋体" w:eastAsia="宋体" w:cs="宋体"/>
          <w:color w:val="000000"/>
          <w:sz w:val="24"/>
          <w:szCs w:val="24"/>
          <w:highlight w:val="none"/>
        </w:rPr>
        <w:t xml:space="preserve">注：“偏离说明”填写“正偏离”“负偏离”或“无偏离”。</w:t>
      </w:r>
      <w:r>
        <w:rPr>
          <w:rFonts w:hint="eastAsia" w:ascii="宋体" w:hAnsi="宋体" w:eastAsia="宋体" w:cs="宋体"/>
          <w:color w:val="000000"/>
          <w:szCs w:val="20"/>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13"/>
        <w:ind w:firstLine="420"/>
        <w:spacing w:line="600" w:lineRule="exact"/>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813"/>
        <w:keepNext/>
        <w:spacing w:line="360" w:lineRule="auto"/>
        <w:rPr>
          <w:rFonts w:hint="eastAsia" w:ascii="宋体" w:hAnsi="宋体" w:eastAsia="宋体" w:cs="宋体"/>
          <w:b/>
          <w:color w:val="000000"/>
          <w:sz w:val="28"/>
          <w:szCs w:val="21"/>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、服务承诺书</w:t>
      </w:r>
      <w:r>
        <w:rPr>
          <w:rFonts w:hint="eastAsia" w:ascii="宋体" w:hAnsi="宋体" w:eastAsia="宋体" w:cs="宋体"/>
          <w:b/>
          <w:color w:val="000000"/>
          <w:sz w:val="28"/>
          <w:szCs w:val="21"/>
          <w:highlight w:val="none"/>
        </w:rPr>
      </w:r>
      <w:r/>
    </w:p>
    <w:p>
      <w:pPr>
        <w:pStyle w:val="813"/>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服务承诺书</w:t>
      </w:r>
      <w:r>
        <w:rPr>
          <w:rFonts w:hint="eastAsia" w:ascii="宋体" w:hAnsi="宋体" w:eastAsia="宋体" w:cs="宋体"/>
          <w:bCs/>
          <w:color w:val="000000"/>
          <w:sz w:val="36"/>
          <w:szCs w:val="28"/>
          <w:highlight w:val="none"/>
        </w:rPr>
      </w:r>
      <w:r/>
    </w:p>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（请按“项目需求”要求的服务及内容自行填写）</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13"/>
        <w:rPr>
          <w:rFonts w:hint="eastAsia" w:ascii="宋体" w:hAnsi="宋体" w:eastAsia="宋体" w:cs="宋体"/>
          <w:bCs/>
          <w:color w:val="000000"/>
          <w:sz w:val="32"/>
          <w:szCs w:val="21"/>
          <w:highlight w:val="none"/>
        </w:rPr>
      </w:pPr>
      <w:r>
        <w:rPr>
          <w:rFonts w:hint="eastAsia" w:ascii="宋体" w:hAnsi="宋体" w:eastAsia="宋体" w:cs="宋体"/>
          <w:b/>
          <w:color w:val="000000"/>
          <w:sz w:val="28"/>
          <w:szCs w:val="20"/>
          <w:highlight w:val="none"/>
        </w:rPr>
        <w:br w:type="page" w:clear="all"/>
      </w:r>
      <w:r>
        <w:rPr>
          <w:rFonts w:hint="eastAsia" w:ascii="宋体" w:hAnsi="宋体" w:eastAsia="宋体" w:cs="宋体"/>
          <w:b w:val="0"/>
          <w:bCs/>
          <w:color w:val="000000"/>
          <w:sz w:val="28"/>
          <w:szCs w:val="20"/>
          <w:highlight w:val="none"/>
          <w:lang w:val="en-US" w:eastAsia="zh-CN"/>
        </w:rPr>
        <w:t xml:space="preserve">格式13、项目团队人员一览表</w:t>
      </w:r>
      <w:r>
        <w:rPr>
          <w:rFonts w:hint="eastAsia" w:ascii="宋体" w:hAnsi="宋体" w:eastAsia="宋体" w:cs="宋体"/>
          <w:bCs/>
          <w:color w:val="000000"/>
          <w:sz w:val="32"/>
          <w:szCs w:val="21"/>
          <w:highlight w:val="none"/>
        </w:rPr>
      </w:r>
      <w:r/>
    </w:p>
    <w:p>
      <w:pPr>
        <w:pStyle w:val="813"/>
        <w:ind w:firstLine="3233"/>
        <w:spacing w:line="520" w:lineRule="exact"/>
        <w:rPr>
          <w:rFonts w:hint="eastAsia" w:ascii="宋体" w:hAnsi="宋体" w:eastAsia="宋体" w:cs="宋体"/>
          <w:b/>
          <w:bCs/>
          <w:color w:val="000000"/>
          <w:sz w:val="28"/>
          <w:szCs w:val="24"/>
          <w:highlight w:val="none"/>
        </w:rPr>
      </w:pPr>
      <w:r>
        <w:rPr>
          <w:rFonts w:hint="eastAsia" w:ascii="宋体" w:hAnsi="宋体" w:eastAsia="宋体" w:cs="宋体"/>
          <w:b/>
          <w:bCs/>
          <w:color w:val="000000"/>
          <w:sz w:val="28"/>
          <w:szCs w:val="24"/>
          <w:highlight w:val="none"/>
        </w:rPr>
      </w:r>
      <w:r/>
    </w:p>
    <w:p>
      <w:pPr>
        <w:pStyle w:val="813"/>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项目团队人员一览表</w:t>
      </w:r>
      <w:r>
        <w:rPr>
          <w:rFonts w:hint="eastAsia" w:ascii="宋体" w:hAnsi="宋体" w:eastAsia="宋体" w:cs="宋体"/>
          <w:bCs/>
          <w:color w:val="000000"/>
          <w:sz w:val="36"/>
          <w:szCs w:val="28"/>
          <w:highlight w:val="none"/>
        </w:rPr>
      </w:r>
      <w:r/>
    </w:p>
    <w:tbl>
      <w:tblPr>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7"/>
        <w:gridCol w:w="1966"/>
        <w:gridCol w:w="1163"/>
        <w:gridCol w:w="924"/>
        <w:gridCol w:w="924"/>
        <w:gridCol w:w="2904"/>
      </w:tblGrid>
      <w:tr>
        <w:trPr>
          <w:trHeight w:val="1054"/>
        </w:trPr>
        <w:tc>
          <w:tcPr>
            <w:tcW w:w="1517" w:type="dxa"/>
            <w:vAlign w:val="center"/>
            <w:textDirection w:val="lrTb"/>
            <w:noWrap w:val="false"/>
          </w:tcPr>
          <w:p>
            <w:pPr>
              <w:pStyle w:val="813"/>
              <w:jc w:val="center"/>
              <w:spacing w:line="520" w:lineRule="exact"/>
              <w:rPr>
                <w:rFonts w:hint="eastAsia" w:ascii="宋体" w:hAnsi="宋体" w:eastAsia="宋体" w:cs="宋体"/>
                <w:color w:val="000000"/>
                <w:szCs w:val="24"/>
                <w:highlight w:val="none"/>
              </w:rPr>
              <w:framePr w:vAnchor="page" w:hAnchor="page" w:y="74"/>
            </w:pPr>
            <w:r>
              <w:rPr>
                <w:rFonts w:hint="eastAsia" w:ascii="宋体" w:hAnsi="宋体" w:eastAsia="宋体" w:cs="宋体"/>
                <w:color w:val="000000"/>
                <w:szCs w:val="24"/>
                <w:highlight w:val="none"/>
              </w:rPr>
              <w:t xml:space="preserve">姓  名</w:t>
            </w:r>
            <w:r>
              <w:rPr>
                <w:rFonts w:hint="eastAsia" w:ascii="宋体" w:hAnsi="宋体" w:eastAsia="宋体" w:cs="宋体"/>
                <w:color w:val="000000"/>
                <w:szCs w:val="24"/>
                <w:highlight w:val="none"/>
              </w:rPr>
            </w:r>
            <w:r/>
          </w:p>
        </w:tc>
        <w:tc>
          <w:tcPr>
            <w:tcW w:w="1966" w:type="dxa"/>
            <w:vAlign w:val="center"/>
            <w:textDirection w:val="lrTb"/>
            <w:noWrap w:val="false"/>
          </w:tcPr>
          <w:p>
            <w:pPr>
              <w:pStyle w:val="813"/>
              <w:jc w:val="center"/>
              <w:spacing w:line="520" w:lineRule="exact"/>
              <w:rPr>
                <w:rFonts w:hint="eastAsia" w:ascii="宋体" w:hAnsi="宋体" w:eastAsia="宋体" w:cs="宋体"/>
                <w:color w:val="000000"/>
                <w:szCs w:val="24"/>
                <w:highlight w:val="none"/>
              </w:rPr>
              <w:framePr w:vAnchor="page" w:hAnchor="page" w:y="74"/>
            </w:pPr>
            <w:r>
              <w:rPr>
                <w:rFonts w:hint="eastAsia" w:ascii="宋体" w:hAnsi="宋体" w:eastAsia="宋体" w:cs="宋体"/>
                <w:color w:val="000000"/>
                <w:szCs w:val="24"/>
                <w:highlight w:val="none"/>
              </w:rPr>
              <w:t xml:space="preserve">本项目拟任</w:t>
            </w:r>
            <w:r>
              <w:rPr>
                <w:rFonts w:hint="eastAsia" w:ascii="宋体" w:hAnsi="宋体" w:eastAsia="宋体" w:cs="宋体"/>
                <w:color w:val="000000"/>
                <w:szCs w:val="24"/>
                <w:highlight w:val="none"/>
              </w:rPr>
            </w:r>
            <w:r/>
          </w:p>
          <w:p>
            <w:pPr>
              <w:pStyle w:val="813"/>
              <w:jc w:val="center"/>
              <w:spacing w:line="520" w:lineRule="exact"/>
              <w:rPr>
                <w:rFonts w:hint="eastAsia" w:ascii="宋体" w:hAnsi="宋体" w:eastAsia="宋体" w:cs="宋体"/>
                <w:color w:val="000000"/>
                <w:szCs w:val="24"/>
                <w:highlight w:val="none"/>
              </w:rPr>
              <w:framePr w:vAnchor="page" w:hAnchor="page" w:y="74"/>
            </w:pPr>
            <w:r>
              <w:rPr>
                <w:rFonts w:hint="eastAsia" w:ascii="宋体" w:hAnsi="宋体" w:eastAsia="宋体" w:cs="宋体"/>
                <w:color w:val="000000"/>
                <w:szCs w:val="24"/>
                <w:highlight w:val="none"/>
              </w:rPr>
              <w:t xml:space="preserve">职  务</w:t>
            </w:r>
            <w:r>
              <w:rPr>
                <w:rFonts w:hint="eastAsia" w:ascii="宋体" w:hAnsi="宋体" w:eastAsia="宋体" w:cs="宋体"/>
                <w:color w:val="000000"/>
                <w:szCs w:val="24"/>
                <w:highlight w:val="none"/>
              </w:rPr>
            </w:r>
            <w:r/>
          </w:p>
        </w:tc>
        <w:tc>
          <w:tcPr>
            <w:tcW w:w="1163" w:type="dxa"/>
            <w:vAlign w:val="center"/>
            <w:textDirection w:val="lrTb"/>
            <w:noWrap w:val="false"/>
          </w:tcPr>
          <w:p>
            <w:pPr>
              <w:pStyle w:val="813"/>
              <w:jc w:val="center"/>
              <w:spacing w:line="520" w:lineRule="exact"/>
              <w:rPr>
                <w:rFonts w:hint="eastAsia" w:ascii="宋体" w:hAnsi="宋体" w:eastAsia="宋体" w:cs="宋体"/>
                <w:color w:val="000000"/>
                <w:szCs w:val="24"/>
                <w:highlight w:val="none"/>
              </w:rPr>
              <w:framePr w:vAnchor="page" w:hAnchor="page" w:y="74"/>
            </w:pPr>
            <w:r>
              <w:rPr>
                <w:rFonts w:hint="eastAsia" w:ascii="宋体" w:hAnsi="宋体" w:eastAsia="宋体" w:cs="宋体"/>
                <w:color w:val="000000"/>
                <w:szCs w:val="24"/>
                <w:highlight w:val="none"/>
              </w:rPr>
              <w:t xml:space="preserve">技术</w:t>
            </w:r>
            <w:r>
              <w:rPr>
                <w:rFonts w:hint="eastAsia" w:ascii="宋体" w:hAnsi="宋体" w:eastAsia="宋体" w:cs="宋体"/>
                <w:color w:val="000000"/>
                <w:szCs w:val="24"/>
                <w:highlight w:val="none"/>
              </w:rPr>
            </w:r>
            <w:r/>
          </w:p>
          <w:p>
            <w:pPr>
              <w:pStyle w:val="813"/>
              <w:jc w:val="center"/>
              <w:spacing w:line="520" w:lineRule="exact"/>
              <w:rPr>
                <w:rFonts w:hint="eastAsia" w:ascii="宋体" w:hAnsi="宋体" w:eastAsia="宋体" w:cs="宋体"/>
                <w:color w:val="000000"/>
                <w:szCs w:val="24"/>
                <w:highlight w:val="none"/>
              </w:rPr>
              <w:framePr w:vAnchor="page" w:hAnchor="page" w:y="74"/>
            </w:pPr>
            <w:r>
              <w:rPr>
                <w:rFonts w:hint="eastAsia" w:ascii="宋体" w:hAnsi="宋体" w:eastAsia="宋体" w:cs="宋体"/>
                <w:color w:val="000000"/>
                <w:szCs w:val="24"/>
                <w:highlight w:val="none"/>
              </w:rPr>
              <w:t xml:space="preserve">职称</w:t>
            </w:r>
            <w:r>
              <w:rPr>
                <w:rFonts w:hint="eastAsia" w:ascii="宋体" w:hAnsi="宋体" w:eastAsia="宋体" w:cs="宋体"/>
                <w:color w:val="000000"/>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Cs w:val="24"/>
                <w:highlight w:val="none"/>
              </w:rPr>
              <w:framePr w:vAnchor="page" w:hAnchor="page" w:y="74"/>
            </w:pPr>
            <w:r>
              <w:rPr>
                <w:rFonts w:hint="eastAsia" w:ascii="宋体" w:hAnsi="宋体" w:eastAsia="宋体" w:cs="宋体"/>
                <w:color w:val="000000"/>
                <w:szCs w:val="24"/>
                <w:highlight w:val="none"/>
              </w:rPr>
              <w:t xml:space="preserve">年龄</w:t>
            </w:r>
            <w:r>
              <w:rPr>
                <w:rFonts w:hint="eastAsia" w:ascii="宋体" w:hAnsi="宋体" w:eastAsia="宋体" w:cs="宋体"/>
                <w:color w:val="000000"/>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Cs w:val="24"/>
                <w:highlight w:val="none"/>
              </w:rPr>
              <w:framePr w:vAnchor="page" w:hAnchor="page" w:y="74"/>
            </w:pPr>
            <w:r>
              <w:rPr>
                <w:rFonts w:hint="eastAsia" w:ascii="宋体" w:hAnsi="宋体" w:eastAsia="宋体" w:cs="宋体"/>
                <w:color w:val="000000"/>
                <w:szCs w:val="24"/>
                <w:highlight w:val="none"/>
              </w:rPr>
              <w:t xml:space="preserve">学历</w:t>
            </w:r>
            <w:r>
              <w:rPr>
                <w:rFonts w:hint="eastAsia" w:ascii="宋体" w:hAnsi="宋体" w:eastAsia="宋体" w:cs="宋体"/>
                <w:color w:val="000000"/>
                <w:szCs w:val="24"/>
                <w:highlight w:val="none"/>
              </w:rPr>
            </w:r>
            <w:r/>
          </w:p>
        </w:tc>
        <w:tc>
          <w:tcPr>
            <w:tcW w:w="2904" w:type="dxa"/>
            <w:vAlign w:val="center"/>
            <w:textDirection w:val="lrTb"/>
            <w:noWrap w:val="false"/>
          </w:tcPr>
          <w:p>
            <w:pPr>
              <w:pStyle w:val="813"/>
              <w:jc w:val="center"/>
              <w:spacing w:line="520" w:lineRule="exact"/>
              <w:rPr>
                <w:rFonts w:hint="eastAsia" w:ascii="宋体" w:hAnsi="宋体" w:eastAsia="宋体" w:cs="宋体"/>
                <w:color w:val="000000"/>
                <w:szCs w:val="24"/>
                <w:highlight w:val="none"/>
              </w:rPr>
              <w:framePr w:vAnchor="page" w:hAnchor="page" w:y="74"/>
            </w:pPr>
            <w:r>
              <w:rPr>
                <w:rFonts w:hint="eastAsia" w:ascii="宋体" w:hAnsi="宋体" w:eastAsia="宋体" w:cs="宋体"/>
                <w:color w:val="000000"/>
                <w:szCs w:val="24"/>
                <w:highlight w:val="none"/>
              </w:rPr>
              <w:t xml:space="preserve">主要资历及担任过的职务</w:t>
            </w:r>
            <w:r>
              <w:rPr>
                <w:rFonts w:hint="eastAsia" w:ascii="宋体" w:hAnsi="宋体" w:eastAsia="宋体" w:cs="宋体"/>
                <w:color w:val="000000"/>
                <w:szCs w:val="24"/>
                <w:highlight w:val="none"/>
              </w:rPr>
            </w:r>
            <w:r/>
          </w:p>
        </w:tc>
      </w:tr>
      <w:tr>
        <w:trPr>
          <w:trHeight w:val="741"/>
        </w:trPr>
        <w:tc>
          <w:tcPr>
            <w:tcW w:w="1517"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966"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163"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290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r>
      <w:tr>
        <w:trPr>
          <w:trHeight w:val="716"/>
        </w:trPr>
        <w:tc>
          <w:tcPr>
            <w:tcW w:w="1517"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966"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163"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290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r>
      <w:tr>
        <w:trPr>
          <w:trHeight w:val="741"/>
        </w:trPr>
        <w:tc>
          <w:tcPr>
            <w:tcW w:w="1517"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966"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163"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290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r>
      <w:tr>
        <w:trPr>
          <w:trHeight w:val="741"/>
        </w:trPr>
        <w:tc>
          <w:tcPr>
            <w:tcW w:w="1517"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966"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163"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290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r>
      <w:tr>
        <w:trPr>
          <w:trHeight w:val="741"/>
        </w:trPr>
        <w:tc>
          <w:tcPr>
            <w:tcW w:w="1517"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966"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163"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290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r>
      <w:tr>
        <w:trPr>
          <w:trHeight w:val="741"/>
        </w:trPr>
        <w:tc>
          <w:tcPr>
            <w:tcW w:w="1517"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966"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163"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290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r>
      <w:tr>
        <w:trPr>
          <w:trHeight w:val="741"/>
        </w:trPr>
        <w:tc>
          <w:tcPr>
            <w:tcW w:w="1517"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966"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163"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290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r>
      <w:tr>
        <w:trPr>
          <w:trHeight w:val="741"/>
        </w:trPr>
        <w:tc>
          <w:tcPr>
            <w:tcW w:w="1517"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966"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163"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290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r>
      <w:tr>
        <w:trPr>
          <w:trHeight w:val="751"/>
        </w:trPr>
        <w:tc>
          <w:tcPr>
            <w:tcW w:w="1517"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966"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1163"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92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c>
          <w:tcPr>
            <w:tcW w:w="2904" w:type="dxa"/>
            <w:vAlign w:val="center"/>
            <w:textDirection w:val="lrTb"/>
            <w:noWrap w:val="false"/>
          </w:tcPr>
          <w:p>
            <w:pPr>
              <w:pStyle w:val="813"/>
              <w:jc w:val="center"/>
              <w:spacing w:line="520" w:lineRule="exact"/>
              <w:rPr>
                <w:rFonts w:hint="eastAsia" w:ascii="宋体" w:hAnsi="宋体" w:eastAsia="宋体" w:cs="宋体"/>
                <w:color w:val="000000"/>
                <w:sz w:val="28"/>
                <w:szCs w:val="24"/>
                <w:highlight w:val="none"/>
              </w:rPr>
              <w:framePr w:vAnchor="page" w:hAnchor="page" w:y="74"/>
            </w:pPr>
            <w:r>
              <w:rPr>
                <w:rFonts w:hint="eastAsia" w:ascii="宋体" w:hAnsi="宋体" w:eastAsia="宋体" w:cs="宋体"/>
                <w:color w:val="000000"/>
                <w:sz w:val="28"/>
                <w:szCs w:val="24"/>
                <w:highlight w:val="none"/>
              </w:rPr>
            </w:r>
            <w:r/>
          </w:p>
        </w:tc>
      </w:tr>
    </w:tbl>
    <w:p>
      <w:pPr>
        <w:pStyle w:val="813"/>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813"/>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813"/>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813"/>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813"/>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13"/>
        <w:jc w:val="left"/>
        <w:spacing w:line="520" w:lineRule="exact"/>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color w:val="000000"/>
          <w:sz w:val="24"/>
          <w:szCs w:val="24"/>
          <w:highlight w:val="none"/>
          <w:lang w:val="en-US" w:eastAsia="zh-CN"/>
        </w:rPr>
        <w:t xml:space="preserve">格式14、类似项目业绩一览表</w:t>
      </w:r>
      <w:r>
        <w:rPr>
          <w:rFonts w:hint="eastAsia" w:ascii="宋体" w:hAnsi="宋体" w:eastAsia="宋体" w:cs="宋体"/>
          <w:b/>
          <w:bCs/>
          <w:color w:val="000000"/>
          <w:sz w:val="32"/>
          <w:szCs w:val="32"/>
          <w:highlight w:val="none"/>
          <w:lang w:val="en-US" w:eastAsia="zh-CN" w:bidi="ar-SA"/>
        </w:rPr>
      </w:r>
      <w:r/>
    </w:p>
    <w:p>
      <w:pPr>
        <w:pStyle w:val="813"/>
        <w:jc w:val="center"/>
        <w:spacing w:line="520" w:lineRule="exact"/>
        <w:rPr>
          <w:rFonts w:hint="eastAsia" w:ascii="宋体" w:hAnsi="宋体" w:eastAsia="宋体" w:cs="宋体"/>
          <w:b/>
          <w:bCs/>
          <w:color w:val="000000"/>
          <w:sz w:val="28"/>
          <w:szCs w:val="24"/>
          <w:highlight w:val="none"/>
        </w:rPr>
      </w:pPr>
      <w:r>
        <w:rPr>
          <w:rFonts w:hint="eastAsia" w:ascii="宋体" w:hAnsi="宋体" w:eastAsia="宋体" w:cs="宋体"/>
          <w:b/>
          <w:bCs/>
          <w:color w:val="000000"/>
          <w:sz w:val="28"/>
          <w:szCs w:val="24"/>
          <w:highlight w:val="none"/>
        </w:rPr>
      </w:r>
      <w:r/>
    </w:p>
    <w:p>
      <w:pPr>
        <w:pStyle w:val="813"/>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类似项目业绩一览表</w:t>
      </w:r>
      <w:r>
        <w:rPr>
          <w:rFonts w:hint="eastAsia" w:ascii="宋体" w:hAnsi="宋体" w:eastAsia="宋体" w:cs="宋体"/>
          <w:bCs/>
          <w:color w:val="000000"/>
          <w:sz w:val="36"/>
          <w:szCs w:val="28"/>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签订时间</w:t>
            </w: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w:t>
            </w: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主要标的</w:t>
            </w:r>
            <w:r>
              <w:rPr>
                <w:rFonts w:hint="eastAsia" w:ascii="宋体" w:hAnsi="宋体" w:eastAsia="宋体" w:cs="宋体"/>
                <w:color w:val="000000"/>
                <w:sz w:val="24"/>
                <w:szCs w:val="24"/>
                <w:highlight w:val="none"/>
              </w:rPr>
            </w:r>
            <w:r/>
          </w:p>
        </w:tc>
      </w:tr>
      <w:tr>
        <w:trPr>
          <w:trHeight w:val="90"/>
        </w:trPr>
        <w:tc>
          <w:tcPr>
            <w:tcW w:w="1014"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2"/>
        </w:trPr>
        <w:tc>
          <w:tcPr>
            <w:tcW w:w="1014"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1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13"/>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813"/>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813"/>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813"/>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13"/>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813"/>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813"/>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813"/>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813"/>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813"/>
        <w:keepNext/>
        <w:spacing w:line="360" w:lineRule="auto"/>
        <w:rPr>
          <w:rFonts w:hint="eastAsia" w:ascii="宋体" w:hAnsi="宋体" w:eastAsia="宋体" w:cs="宋体"/>
          <w:color w:val="000000"/>
          <w:sz w:val="28"/>
          <w:szCs w:val="20"/>
          <w:highlight w:val="none"/>
        </w:rPr>
        <w:outlineLvl w:val="1"/>
      </w:pPr>
      <w:r>
        <w:rPr>
          <w:rFonts w:hint="eastAsia" w:ascii="宋体" w:hAnsi="宋体" w:eastAsia="宋体" w:cs="宋体"/>
          <w:color w:val="000000"/>
          <w:sz w:val="24"/>
          <w:szCs w:val="24"/>
          <w:highlight w:val="none"/>
        </w:rPr>
        <w:t xml:space="preserve">格式1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、项目需求响应</w:t>
      </w:r>
      <w:r>
        <w:rPr>
          <w:rFonts w:hint="eastAsia" w:ascii="宋体" w:hAnsi="宋体" w:eastAsia="宋体" w:cs="宋体"/>
          <w:color w:val="000000"/>
          <w:sz w:val="28"/>
          <w:szCs w:val="20"/>
          <w:highlight w:val="none"/>
        </w:rPr>
      </w:r>
      <w:r/>
    </w:p>
    <w:p>
      <w:pPr>
        <w:pStyle w:val="813"/>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项目需求响应</w:t>
      </w:r>
      <w:r>
        <w:rPr>
          <w:rFonts w:hint="eastAsia" w:ascii="宋体" w:hAnsi="宋体" w:eastAsia="宋体" w:cs="宋体"/>
          <w:bCs/>
          <w:color w:val="000000"/>
          <w:sz w:val="36"/>
          <w:szCs w:val="28"/>
          <w:highlight w:val="none"/>
        </w:rPr>
      </w:r>
      <w:r/>
    </w:p>
    <w:p>
      <w:pPr>
        <w:pStyle w:val="81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（请按“项目需求”要求自行填写，格式自定）</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color w:val="000000"/>
          <w:sz w:val="24"/>
          <w:szCs w:val="24"/>
          <w:highlight w:val="none"/>
        </w:rPr>
      </w:r>
      <w:r/>
    </w:p>
    <w:p>
      <w:pPr>
        <w:pStyle w:val="813"/>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36"/>
          <w:szCs w:val="20"/>
          <w:highlight w:val="none"/>
        </w:rPr>
        <w:br w:type="page" w:clear="all"/>
      </w:r>
      <w:r>
        <w:rPr>
          <w:rFonts w:hint="eastAsia" w:ascii="宋体" w:hAnsi="宋体" w:eastAsia="宋体" w:cs="宋体"/>
          <w:bCs/>
          <w:color w:val="000000"/>
          <w:sz w:val="36"/>
          <w:szCs w:val="28"/>
          <w:highlight w:val="none"/>
          <w:lang w:val="en-US" w:eastAsia="zh-CN"/>
        </w:rPr>
        <w:t xml:space="preserve">投标人认为所需的其他材料</w:t>
      </w:r>
      <w:r>
        <w:rPr>
          <w:rFonts w:hint="eastAsia" w:ascii="宋体" w:hAnsi="宋体" w:eastAsia="宋体" w:cs="宋体"/>
          <w:b/>
          <w:bCs/>
          <w:color w:val="000000"/>
          <w:sz w:val="28"/>
          <w:szCs w:val="28"/>
          <w:highlight w:val="none"/>
        </w:rPr>
      </w:r>
      <w:r/>
    </w:p>
    <w:p>
      <w:pPr>
        <w:pStyle w:val="813"/>
        <w:jc w:val="center"/>
        <w:keepLines/>
        <w:keepNext/>
        <w:spacing w:line="360" w:lineRule="auto"/>
        <w:rPr>
          <w:rFonts w:hint="eastAsia" w:ascii="宋体" w:hAnsi="宋体" w:eastAsia="宋体" w:cs="宋体"/>
          <w:b/>
          <w:color w:val="000000"/>
          <w:sz w:val="36"/>
          <w:szCs w:val="20"/>
          <w:highlight w:val="none"/>
        </w:rPr>
        <w:outlineLvl w:val="0"/>
      </w:pPr>
      <w:r/>
      <w:bookmarkStart w:id="20" w:name="_Toc249"/>
      <w:r>
        <w:rPr>
          <w:rFonts w:hint="eastAsia" w:ascii="宋体" w:hAnsi="宋体" w:eastAsia="宋体" w:cs="宋体"/>
          <w:b/>
          <w:color w:val="000000"/>
          <w:sz w:val="36"/>
          <w:szCs w:val="20"/>
          <w:highlight w:val="none"/>
        </w:rPr>
        <w:t xml:space="preserve">第五章  合同专用条款表</w:t>
      </w:r>
      <w:bookmarkEnd w:id="20"/>
      <w:r>
        <w:rPr>
          <w:rFonts w:hint="eastAsia" w:ascii="宋体" w:hAnsi="宋体" w:eastAsia="宋体" w:cs="宋体"/>
          <w:b/>
          <w:color w:val="000000"/>
          <w:sz w:val="36"/>
          <w:szCs w:val="20"/>
          <w:highlight w:val="none"/>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本表是对第三章“政府采购合同格式”的补充和修改。如果两者之间有抵触，以本专用条款表为准。</w:t>
      </w:r>
      <w:r>
        <w:rPr>
          <w:rFonts w:hint="eastAsia" w:ascii="宋体" w:hAnsi="宋体" w:eastAsia="宋体" w:cs="宋体"/>
          <w:color w:val="000000"/>
          <w:sz w:val="24"/>
          <w:szCs w:val="24"/>
          <w:highlight w:val="none"/>
        </w:rPr>
      </w:r>
      <w:r/>
    </w:p>
    <w:tbl>
      <w:tblPr>
        <w:tblW w:w="95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pStyle w:val="81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条款号</w:t>
            </w:r>
            <w:r>
              <w:rPr>
                <w:rFonts w:hint="eastAsia" w:ascii="宋体" w:hAnsi="宋体" w:eastAsia="宋体" w:cs="宋体"/>
                <w:color w:val="000000"/>
                <w:sz w:val="24"/>
                <w:szCs w:val="24"/>
                <w:highlight w:val="none"/>
              </w:rPr>
            </w:r>
            <w:r/>
          </w:p>
        </w:tc>
        <w:tc>
          <w:tcPr>
            <w:tcW w:w="8476" w:type="dxa"/>
            <w:vAlign w:val="center"/>
            <w:textDirection w:val="lrTb"/>
            <w:noWrap w:val="false"/>
          </w:tcPr>
          <w:p>
            <w:pPr>
              <w:pStyle w:val="81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trHeight w:val="476"/>
        </w:trPr>
        <w:tc>
          <w:tcPr>
            <w:tcW w:w="1064" w:type="dxa"/>
            <w:vAlign w:val="center"/>
            <w:textDirection w:val="lrTb"/>
            <w:noWrap w:val="false"/>
          </w:tcPr>
          <w:p>
            <w:pPr>
              <w:pStyle w:val="81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476" w:type="dxa"/>
            <w:vAlign w:val="center"/>
            <w:textDirection w:val="lrTb"/>
            <w:noWrap w:val="false"/>
          </w:tcPr>
          <w:p>
            <w:pPr>
              <w:pStyle w:val="900"/>
              <w:spacing w:before="96" w:line="360" w:lineRule="auto"/>
              <w:tabs>
                <w:tab w:val="left" w:pos="6739" w:leader="none"/>
              </w:tabs>
              <w:rPr>
                <w:rFonts w:hint="eastAsia" w:ascii="宋体" w:hAnsi="宋体" w:eastAsia="宋体" w:cs="宋体"/>
                <w:b/>
                <w:color w:val="000000"/>
                <w:sz w:val="24"/>
                <w:highlight w:val="none"/>
                <w:lang w:val="en-US" w:eastAsia="zh-CN"/>
              </w:rPr>
            </w:pPr>
            <w:r>
              <w:rPr>
                <w:rFonts w:hint="eastAsia" w:ascii="宋体" w:hAnsi="宋体" w:eastAsia="宋体" w:cs="宋体"/>
                <w:b w:val="0"/>
                <w:bCs/>
                <w:color w:val="000000"/>
                <w:sz w:val="24"/>
                <w:highlight w:val="none"/>
              </w:rPr>
              <w:t xml:space="preserve">履约保证金：</w:t>
            </w:r>
            <w:r>
              <w:rPr>
                <w:rFonts w:hint="eastAsia" w:ascii="宋体" w:hAnsi="宋体" w:eastAsia="宋体" w:cs="宋体"/>
                <w:bCs/>
                <w:color w:val="000000"/>
                <w:sz w:val="24"/>
                <w:szCs w:val="24"/>
                <w:highlight w:val="none"/>
              </w:rPr>
              <w:t xml:space="preserve">本项目不收取履约保证金。</w:t>
            </w:r>
            <w:r>
              <w:rPr>
                <w:rFonts w:hint="eastAsia" w:ascii="宋体" w:hAnsi="宋体" w:eastAsia="宋体" w:cs="宋体"/>
                <w:b/>
                <w:color w:val="000000"/>
                <w:sz w:val="24"/>
                <w:highlight w:val="none"/>
                <w:lang w:val="en-US" w:eastAsia="zh-CN"/>
              </w:rPr>
            </w:r>
            <w:r/>
          </w:p>
        </w:tc>
      </w:tr>
      <w:tr>
        <w:trPr>
          <w:trHeight w:val="935"/>
        </w:trPr>
        <w:tc>
          <w:tcPr>
            <w:tcW w:w="1064" w:type="dxa"/>
            <w:vAlign w:val="center"/>
            <w:textDirection w:val="lrTb"/>
            <w:noWrap w:val="false"/>
          </w:tcPr>
          <w:p>
            <w:pPr>
              <w:pStyle w:val="81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w:t>
            </w:r>
            <w:r>
              <w:rPr>
                <w:rFonts w:hint="eastAsia" w:ascii="宋体" w:hAnsi="宋体" w:eastAsia="宋体" w:cs="宋体"/>
                <w:color w:val="000000"/>
                <w:sz w:val="24"/>
                <w:szCs w:val="24"/>
                <w:highlight w:val="none"/>
                <w:lang w:val="en-US" w:eastAsia="zh-CN"/>
              </w:rPr>
            </w:r>
            <w:r/>
          </w:p>
        </w:tc>
        <w:tc>
          <w:tcPr>
            <w:tcW w:w="8476" w:type="dxa"/>
            <w:vAlign w:val="center"/>
            <w:textDirection w:val="lrTb"/>
            <w:noWrap w:val="false"/>
          </w:tcPr>
          <w:p>
            <w:pPr>
              <w:pStyle w:val="813"/>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服务期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lang w:eastAsia="zh-CN"/>
              </w:rPr>
              <w:t xml:space="preserve">运营服务期限为自合同签订之日起至达标出水总量上限为止，总服务期限不超过2年。（非中标人原因不能正常运营的，运营期相应顺延）。</w:t>
            </w:r>
            <w:r>
              <w:rPr>
                <w:rFonts w:hint="eastAsia" w:ascii="宋体" w:hAnsi="宋体" w:eastAsia="宋体" w:cs="宋体"/>
                <w:color w:val="000000"/>
                <w:sz w:val="24"/>
                <w:szCs w:val="24"/>
                <w:highlight w:val="none"/>
                <w:lang w:eastAsia="zh-CN"/>
              </w:rPr>
            </w:r>
            <w:r/>
          </w:p>
        </w:tc>
      </w:tr>
      <w:tr>
        <w:trPr>
          <w:trHeight w:val="956"/>
        </w:trPr>
        <w:tc>
          <w:tcPr>
            <w:tcW w:w="1064" w:type="dxa"/>
            <w:vAlign w:val="center"/>
            <w:textDirection w:val="lrTb"/>
            <w:noWrap w:val="false"/>
          </w:tcPr>
          <w:p>
            <w:pPr>
              <w:pStyle w:val="813"/>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c>
          <w:tcPr>
            <w:tcW w:w="8476" w:type="dxa"/>
            <w:vAlign w:val="center"/>
            <w:textDirection w:val="lrTb"/>
            <w:noWrap w:val="false"/>
          </w:tcPr>
          <w:p>
            <w:pPr>
              <w:pStyle w:val="813"/>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 交付期：每个交付节点满足项目需求或采购人要求。   </w:t>
            </w:r>
            <w:r>
              <w:rPr>
                <w:rFonts w:hint="eastAsia" w:ascii="宋体" w:hAnsi="宋体" w:eastAsia="宋体" w:cs="宋体"/>
                <w:color w:val="000000"/>
                <w:sz w:val="24"/>
                <w:szCs w:val="24"/>
                <w:highlight w:val="none"/>
                <w:lang w:val="en-US" w:eastAsia="zh-CN"/>
              </w:rPr>
            </w:r>
            <w:r/>
          </w:p>
          <w:p>
            <w:pPr>
              <w:pStyle w:val="813"/>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9.2 交付方式：现场交付。</w:t>
            </w:r>
            <w:r>
              <w:rPr>
                <w:rFonts w:hint="eastAsia" w:ascii="宋体" w:hAnsi="宋体" w:eastAsia="宋体" w:cs="宋体"/>
                <w:color w:val="000000"/>
                <w:sz w:val="24"/>
                <w:szCs w:val="24"/>
                <w:highlight w:val="none"/>
                <w:lang w:val="en-US" w:eastAsia="zh-CN"/>
              </w:rPr>
            </w:r>
            <w:r/>
          </w:p>
          <w:p>
            <w:pPr>
              <w:pStyle w:val="81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9.3 交付地点：采购人指定地点。</w:t>
            </w:r>
            <w:r>
              <w:rPr>
                <w:rFonts w:hint="eastAsia" w:ascii="宋体" w:hAnsi="宋体" w:eastAsia="宋体" w:cs="宋体"/>
                <w:color w:val="000000"/>
                <w:sz w:val="24"/>
                <w:szCs w:val="24"/>
                <w:highlight w:val="none"/>
              </w:rPr>
            </w:r>
            <w:r/>
          </w:p>
        </w:tc>
      </w:tr>
      <w:tr>
        <w:trPr>
          <w:trHeight w:val="674"/>
        </w:trPr>
        <w:tc>
          <w:tcPr>
            <w:tcW w:w="1064" w:type="dxa"/>
            <w:vAlign w:val="center"/>
            <w:textDirection w:val="lrTb"/>
            <w:noWrap w:val="false"/>
          </w:tcPr>
          <w:p>
            <w:pPr>
              <w:pStyle w:val="81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10.1</w:t>
            </w:r>
            <w:r>
              <w:rPr>
                <w:rFonts w:hint="eastAsia" w:ascii="宋体" w:hAnsi="宋体" w:eastAsia="宋体" w:cs="宋体"/>
                <w:color w:val="000000"/>
                <w:sz w:val="24"/>
                <w:szCs w:val="24"/>
                <w:highlight w:val="none"/>
                <w:lang w:val="en-US" w:eastAsia="zh-CN"/>
              </w:rPr>
            </w:r>
            <w:r/>
          </w:p>
        </w:tc>
        <w:tc>
          <w:tcPr>
            <w:tcW w:w="8476" w:type="dxa"/>
            <w:vAlign w:val="center"/>
            <w:textDirection w:val="lrTb"/>
            <w:noWrap w:val="false"/>
          </w:tcPr>
          <w:p>
            <w:pPr>
              <w:pStyle w:val="813"/>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付款方式：项目运营服务费每3个月支付一次，按运营期内实际达标处理出水量向供应商支付实际发生费用，当次结算款=供应商投标单价*当次实际达标出水量，合同期内项目总支付费用不超过1333万元。</w:t>
            </w:r>
            <w:r>
              <w:rPr>
                <w:rFonts w:hint="eastAsia" w:ascii="宋体" w:hAnsi="宋体" w:eastAsia="宋体" w:cs="宋体"/>
                <w:color w:val="000000"/>
                <w:sz w:val="24"/>
                <w:szCs w:val="24"/>
                <w:highlight w:val="none"/>
              </w:rPr>
            </w:r>
            <w:r/>
          </w:p>
          <w:p>
            <w:pPr>
              <w:pStyle w:val="813"/>
              <w:keepLines w:val="0"/>
              <w:keepNext w:val="0"/>
              <w:pageBreakBefore w:val="0"/>
              <w:spacing w:line="480" w:lineRule="exact"/>
              <w:widowControl w:val="off"/>
              <w:rPr>
                <w:rFonts w:hint="eastAsia" w:ascii="宋体" w:hAnsi="宋体" w:eastAsia="宋体" w:cs="宋体"/>
                <w:color w:val="000000"/>
                <w:highlight w:val="none"/>
                <w:lang w:val="en-US"/>
              </w:rPr>
            </w:pPr>
            <w:r>
              <w:rPr>
                <w:rFonts w:hint="eastAsia" w:ascii="宋体" w:hAnsi="宋体" w:eastAsia="宋体" w:cs="宋体"/>
                <w:color w:val="000000"/>
                <w:sz w:val="24"/>
                <w:szCs w:val="24"/>
                <w:highlight w:val="none"/>
              </w:rPr>
              <w:t xml:space="preserve">采购人支付运营费前，供应商须提供等额的正式发票给采购人，以便采购人及时办理转帐支付手续。</w:t>
            </w:r>
            <w:r>
              <w:rPr>
                <w:rFonts w:hint="eastAsia" w:ascii="宋体" w:hAnsi="宋体" w:eastAsia="宋体" w:cs="宋体"/>
                <w:color w:val="000000"/>
                <w:highlight w:val="none"/>
                <w:lang w:val="en-US"/>
              </w:rPr>
            </w:r>
            <w:r/>
          </w:p>
        </w:tc>
      </w:tr>
      <w:tr>
        <w:trPr>
          <w:trHeight w:val="545"/>
        </w:trPr>
        <w:tc>
          <w:tcPr>
            <w:tcW w:w="1064" w:type="dxa"/>
            <w:vAlign w:val="center"/>
            <w:textDirection w:val="lrTb"/>
            <w:noWrap w:val="false"/>
          </w:tcPr>
          <w:p>
            <w:pPr>
              <w:pStyle w:val="81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476" w:type="dxa"/>
            <w:vAlign w:val="center"/>
            <w:textDirection w:val="lrTb"/>
            <w:noWrap w:val="false"/>
          </w:tcPr>
          <w:p>
            <w:pPr>
              <w:pStyle w:val="81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违约责任：</w:t>
            </w:r>
            <w:r>
              <w:rPr>
                <w:rFonts w:hint="eastAsia" w:ascii="宋体" w:hAnsi="宋体" w:eastAsia="宋体" w:cs="宋体"/>
                <w:color w:val="000000"/>
                <w:sz w:val="24"/>
                <w:szCs w:val="24"/>
                <w:highlight w:val="none"/>
              </w:rPr>
            </w:r>
            <w:r/>
          </w:p>
          <w:p>
            <w:pPr>
              <w:pStyle w:val="81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具体违约条款及其它未尽事宜，将在双方签订合同时议定。</w:t>
            </w:r>
            <w:r>
              <w:rPr>
                <w:rFonts w:hint="eastAsia" w:ascii="宋体" w:hAnsi="宋体" w:eastAsia="宋体" w:cs="宋体"/>
                <w:color w:val="000000"/>
                <w:sz w:val="24"/>
                <w:szCs w:val="24"/>
                <w:highlight w:val="none"/>
              </w:rPr>
            </w:r>
            <w:r/>
          </w:p>
        </w:tc>
      </w:tr>
    </w:tbl>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3"/>
        <w:jc w:val="center"/>
        <w:keepLines/>
        <w:keepNext/>
        <w:spacing w:line="360" w:lineRule="auto"/>
        <w:rPr>
          <w:rFonts w:hint="eastAsia" w:ascii="宋体" w:hAnsi="宋体" w:eastAsia="宋体" w:cs="宋体"/>
          <w:color w:val="000000"/>
          <w:sz w:val="36"/>
          <w:szCs w:val="20"/>
          <w:highlight w:val="none"/>
        </w:rPr>
        <w:outlineLvl w:val="0"/>
      </w:pPr>
      <w:r>
        <w:rPr>
          <w:rFonts w:hint="eastAsia" w:ascii="宋体" w:hAnsi="宋体" w:eastAsia="宋体" w:cs="宋体"/>
          <w:bCs/>
          <w:color w:val="000000"/>
          <w:sz w:val="36"/>
          <w:szCs w:val="20"/>
          <w:highlight w:val="none"/>
        </w:rPr>
        <w:br w:type="page" w:clear="all"/>
      </w:r>
      <w:bookmarkEnd w:id="18"/>
      <w:r/>
      <w:bookmarkEnd w:id="19"/>
      <w:r/>
      <w:bookmarkStart w:id="21" w:name="_Toc30149"/>
      <w:r/>
      <w:bookmarkStart w:id="22" w:name="_Toc513622230"/>
      <w:r>
        <w:rPr>
          <w:rFonts w:hint="eastAsia" w:ascii="宋体" w:hAnsi="宋体" w:eastAsia="宋体" w:cs="宋体"/>
          <w:color w:val="000000"/>
          <w:sz w:val="36"/>
          <w:szCs w:val="20"/>
          <w:highlight w:val="none"/>
        </w:rPr>
        <w:t xml:space="preserve">第六章  项目需求</w:t>
      </w:r>
      <w:bookmarkEnd w:id="21"/>
      <w:r/>
      <w:bookmarkEnd w:id="22"/>
      <w:r>
        <w:rPr>
          <w:rFonts w:hint="eastAsia" w:ascii="宋体" w:hAnsi="宋体" w:eastAsia="宋体" w:cs="宋体"/>
          <w:color w:val="000000"/>
          <w:sz w:val="36"/>
          <w:szCs w:val="20"/>
          <w:highlight w:val="none"/>
        </w:rPr>
      </w:r>
      <w:r/>
    </w:p>
    <w:p>
      <w:pPr>
        <w:pStyle w:val="813"/>
        <w:ind w:firstLine="482"/>
        <w:spacing w:line="480" w:lineRule="auto"/>
        <w:rPr>
          <w:rFonts w:hint="eastAsia" w:ascii="宋体" w:hAnsi="宋体" w:eastAsia="宋体" w:cs="宋体"/>
          <w:b/>
          <w:color w:val="000000"/>
          <w:sz w:val="24"/>
          <w:szCs w:val="24"/>
          <w:highlight w:val="none"/>
        </w:rPr>
      </w:pPr>
      <w:r/>
      <w:bookmarkStart w:id="23" w:name="_Toc139966433"/>
      <w:r/>
      <w:bookmarkStart w:id="24" w:name="_Toc139967217"/>
      <w:r>
        <w:rPr>
          <w:rFonts w:hint="eastAsia" w:ascii="宋体" w:hAnsi="宋体" w:eastAsia="宋体" w:cs="宋体"/>
          <w:b/>
          <w:color w:val="000000"/>
          <w:sz w:val="24"/>
          <w:szCs w:val="24"/>
          <w:highlight w:val="none"/>
        </w:rPr>
        <w:t xml:space="preserve">说明：本项目采购方式为公开招标，项目属性为服务，采购标的对应的中小企业划分标准所属行业为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bCs/>
          <w:color w:val="000000"/>
          <w:sz w:val="24"/>
          <w:highlight w:val="none"/>
          <w:u w:val="single"/>
        </w:rPr>
        <w:t xml:space="preserve">其他未列明行业</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813"/>
        <w:ind w:firstLine="482"/>
        <w:spacing w:line="48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其他未列明行业</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b/>
          <w:color w:val="000000"/>
          <w:sz w:val="24"/>
          <w:szCs w:val="24"/>
          <w:highlight w:val="none"/>
        </w:rPr>
      </w:r>
      <w:r/>
    </w:p>
    <w:p>
      <w:pPr>
        <w:pStyle w:val="81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1、根据《政府采购需求管理办法》等有关规定，采购人确定采购需求。</w:t>
      </w:r>
      <w:r>
        <w:rPr>
          <w:rFonts w:hint="eastAsia" w:ascii="宋体" w:hAnsi="宋体" w:eastAsia="宋体" w:cs="宋体"/>
          <w:color w:val="000000"/>
          <w:sz w:val="24"/>
          <w:szCs w:val="24"/>
          <w:highlight w:val="none"/>
        </w:rPr>
      </w:r>
      <w:r/>
    </w:p>
    <w:p>
      <w:pPr>
        <w:pStyle w:val="813"/>
        <w:ind w:firstLine="482"/>
        <w:jc w:val="left"/>
        <w:spacing w:line="360" w:lineRule="auto"/>
        <w:rPr>
          <w:rFonts w:hint="eastAsia" w:ascii="宋体" w:hAnsi="宋体" w:eastAsia="宋体" w:cs="宋体"/>
          <w:color w:val="000000"/>
          <w:sz w:val="21"/>
          <w:szCs w:val="24"/>
          <w:highlight w:val="none"/>
          <w:lang w:val="en-US" w:eastAsia="zh-CN" w:bidi="ar-SA"/>
        </w:rPr>
      </w:pPr>
      <w:r>
        <w:rPr>
          <w:rFonts w:hint="eastAsia" w:ascii="宋体" w:hAnsi="宋体" w:eastAsia="宋体" w:cs="宋体"/>
          <w:b/>
          <w:color w:val="000000"/>
          <w:sz w:val="24"/>
          <w:szCs w:val="24"/>
          <w:highlight w:val="none"/>
        </w:rPr>
        <w:t xml:space="preserve">2、</w:t>
      </w:r>
      <w:r>
        <w:rPr>
          <w:rFonts w:hint="eastAsia" w:ascii="宋体" w:hAnsi="宋体" w:eastAsia="宋体" w:cs="宋体"/>
          <w:b/>
          <w:bCs/>
          <w:color w:val="000000"/>
          <w:sz w:val="24"/>
          <w:szCs w:val="24"/>
          <w:highlight w:val="none"/>
        </w:rPr>
        <w:t xml:space="preserve">本项目需求中标注★号的款项为实质性要求和条件，由采购人根据实际情况设置，投标人必须逐条明确作出满足实质性要求和条件的响应，否则投标无效。</w:t>
      </w:r>
      <w:r>
        <w:rPr>
          <w:rFonts w:hint="eastAsia" w:ascii="宋体" w:hAnsi="宋体" w:eastAsia="宋体" w:cs="宋体"/>
          <w:color w:val="000000"/>
          <w:sz w:val="21"/>
          <w:szCs w:val="24"/>
          <w:highlight w:val="none"/>
          <w:lang w:val="en-US" w:eastAsia="zh-CN" w:bidi="ar-SA"/>
        </w:rPr>
      </w:r>
      <w:r/>
    </w:p>
    <w:p>
      <w:pPr>
        <w:pStyle w:val="813"/>
        <w:ind w:firstLine="482"/>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本项目</w:t>
      </w:r>
      <w:r>
        <w:rPr>
          <w:rFonts w:hint="eastAsia" w:ascii="宋体" w:hAnsi="宋体" w:eastAsia="宋体" w:cs="宋体"/>
          <w:b/>
          <w:bCs/>
          <w:color w:val="000000"/>
          <w:sz w:val="24"/>
          <w:szCs w:val="24"/>
          <w:highlight w:val="none"/>
          <w:lang w:eastAsia="zh-CN"/>
        </w:rPr>
        <w:t xml:space="preserve">核心</w:t>
      </w:r>
      <w:r>
        <w:rPr>
          <w:rFonts w:hint="eastAsia" w:ascii="宋体" w:hAnsi="宋体" w:eastAsia="宋体" w:cs="宋体"/>
          <w:b/>
          <w:bCs/>
          <w:color w:val="000000"/>
          <w:sz w:val="24"/>
          <w:szCs w:val="24"/>
          <w:highlight w:val="none"/>
        </w:rPr>
        <w:t xml:space="preserve">产品</w:t>
      </w:r>
      <w:r>
        <w:rPr>
          <w:rFonts w:hint="eastAsia" w:ascii="宋体" w:hAnsi="宋体" w:eastAsia="宋体" w:cs="宋体"/>
          <w:b/>
          <w:bCs/>
          <w:color w:val="000000"/>
          <w:sz w:val="24"/>
          <w:szCs w:val="24"/>
          <w:highlight w:val="none"/>
          <w:lang w:eastAsia="zh-CN"/>
        </w:rPr>
        <w:t xml:space="preserve">：环管处渗滤液第三方运行</w:t>
      </w:r>
      <w:r>
        <w:rPr>
          <w:rFonts w:hint="eastAsia" w:ascii="宋体" w:hAnsi="宋体" w:eastAsia="宋体" w:cs="宋体"/>
          <w:b/>
          <w:bCs/>
          <w:color w:val="000000"/>
          <w:sz w:val="24"/>
          <w:szCs w:val="24"/>
          <w:highlight w:val="none"/>
          <w:lang w:val="en-US" w:eastAsia="zh-CN"/>
        </w:rPr>
        <w:t xml:space="preserve">服务</w:t>
      </w:r>
      <w:r>
        <w:rPr>
          <w:rFonts w:ascii="宋体" w:hAnsi="宋体" w:eastAsia="宋体" w:cs="宋体"/>
          <w:b/>
          <w:bCs/>
          <w:color w:val="000000"/>
          <w:sz w:val="24"/>
          <w:szCs w:val="24"/>
          <w:highlight w:val="none"/>
          <w:lang w:val="en-US" w:eastAsia="zh-CN"/>
        </w:rPr>
      </w:r>
      <w:r/>
    </w:p>
    <w:p>
      <w:pPr>
        <w:pStyle w:val="813"/>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一、项目背景</w:t>
      </w:r>
      <w:r>
        <w:rPr>
          <w:rFonts w:hint="eastAsia" w:ascii="宋体" w:hAnsi="宋体" w:eastAsia="宋体" w:cs="宋体"/>
          <w:b/>
          <w:bCs/>
          <w:color w:val="000000"/>
          <w:sz w:val="24"/>
          <w:szCs w:val="24"/>
          <w:highlight w:val="none"/>
          <w:lang w:val="en-US" w:eastAsia="zh-CN"/>
        </w:rPr>
      </w:r>
      <w:r/>
    </w:p>
    <w:p>
      <w:pPr>
        <w:pStyle w:val="81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为持续高效解决钓鱼山封场项目渗滤液处理，确保各场站环保达标，避免环境污染事件发生。根据《生活垃圾填埋场污染控制标准 》（GB 16889-2024）等相关文件要求，我单位拟采购连云港市环境卫生管理处2026-2027年度渗滤液处理站第三方运维，服务期限24个月，计划达标出水约8万吨。</w:t>
      </w:r>
      <w:r>
        <w:rPr>
          <w:rFonts w:hint="eastAsia" w:ascii="宋体" w:hAnsi="宋体" w:eastAsia="宋体" w:cs="宋体"/>
          <w:color w:val="000000"/>
          <w:sz w:val="24"/>
          <w:szCs w:val="24"/>
          <w:highlight w:val="none"/>
          <w:lang w:val="en-US" w:eastAsia="zh-CN" w:bidi="ar"/>
        </w:rPr>
      </w:r>
      <w:r/>
    </w:p>
    <w:p>
      <w:pPr>
        <w:pStyle w:val="813"/>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、项目需求</w:t>
      </w:r>
      <w:r>
        <w:rPr>
          <w:rFonts w:hint="eastAsia" w:ascii="宋体" w:hAnsi="宋体" w:eastAsia="宋体" w:cs="宋体"/>
          <w:b/>
          <w:bCs/>
          <w:color w:val="000000"/>
          <w:sz w:val="24"/>
          <w:szCs w:val="24"/>
          <w:highlight w:val="none"/>
        </w:rPr>
      </w:r>
      <w:r/>
    </w:p>
    <w:p>
      <w:pPr>
        <w:pStyle w:val="813"/>
        <w:ind w:firstLine="482"/>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2.1</w:t>
      </w:r>
      <w:r>
        <w:rPr>
          <w:rFonts w:hint="eastAsia" w:ascii="宋体" w:hAnsi="宋体" w:eastAsia="宋体" w:cs="宋体"/>
          <w:b/>
          <w:bCs w:val="0"/>
          <w:color w:val="000000"/>
          <w:sz w:val="24"/>
          <w:szCs w:val="24"/>
          <w:highlight w:val="none"/>
        </w:rPr>
        <w:t xml:space="preserve">我单位现有渗滤液处理设施</w:t>
      </w:r>
      <w:r>
        <w:rPr>
          <w:rFonts w:hint="eastAsia" w:ascii="宋体" w:hAnsi="宋体" w:eastAsia="宋体" w:cs="宋体"/>
          <w:b/>
          <w:bCs w:val="0"/>
          <w:color w:val="000000"/>
          <w:sz w:val="24"/>
          <w:szCs w:val="24"/>
          <w:highlight w:val="none"/>
          <w:lang w:val="en-US" w:eastAsia="zh-CN"/>
        </w:rPr>
        <w:t xml:space="preserve">情况</w:t>
      </w:r>
      <w:r>
        <w:rPr>
          <w:rFonts w:hint="eastAsia" w:ascii="宋体" w:hAnsi="宋体" w:eastAsia="宋体" w:cs="宋体"/>
          <w:b/>
          <w:bCs w:val="0"/>
          <w:color w:val="000000"/>
          <w:sz w:val="24"/>
          <w:szCs w:val="24"/>
          <w:highlight w:val="none"/>
          <w:lang w:eastAsia="zh-CN"/>
        </w:rPr>
      </w:r>
      <w:r/>
    </w:p>
    <w:p>
      <w:pPr>
        <w:pStyle w:val="813"/>
        <w:numPr>
          <w:ilvl w:val="0"/>
          <w:numId w:val="3"/>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钓鱼山封场渗滤液站位于钓鱼山填埋场，该场站为项目处理现场，要求通过第三方运行单位自带成套渗滤液处</w:t>
      </w:r>
      <w:r>
        <w:rPr>
          <w:rFonts w:hint="eastAsia" w:ascii="宋体" w:hAnsi="宋体" w:eastAsia="宋体" w:cs="宋体"/>
          <w:bCs/>
          <w:color w:val="000000"/>
          <w:sz w:val="24"/>
          <w:szCs w:val="24"/>
          <w:highlight w:val="none"/>
        </w:rPr>
        <w:t xml:space="preserve">理设备，结合场地现有设施，将渗滤液处理站工艺调整为“生化+深度处理”，出水能力不少于110吨/日（雨季等特殊情况下出水能力需达到300吨/日，具体情况需供应商现场踏勘，自行负责），实现渗滤液全量处理，处理后水质达到《生活垃圾填埋场污染控制标准》（GB16889－2024）中表4标准排入污水管网。现场自有渗滤液设备处理工艺为两级DTRO（24根膜柱），处理规模为50吨/天；拟将原有设施转为应急处理设施。重要提醒各投标供应商钓鱼山雨季水量可达300吨/天，供应商必须充分考虑设备冗余处理能力，以满足现场实际需要。</w:t>
      </w:r>
      <w:r>
        <w:rPr>
          <w:rFonts w:hint="eastAsia" w:ascii="宋体" w:hAnsi="宋体" w:eastAsia="宋体" w:cs="宋体"/>
          <w:bCs/>
          <w:color w:val="000000"/>
          <w:sz w:val="24"/>
          <w:szCs w:val="24"/>
          <w:highlight w:val="none"/>
        </w:rPr>
      </w:r>
      <w:r/>
    </w:p>
    <w:p>
      <w:pPr>
        <w:pStyle w:val="813"/>
        <w:ind w:firstLine="482"/>
        <w:spacing w:line="360" w:lineRule="auto"/>
        <w:rPr>
          <w:rFonts w:hint="eastAsia" w:ascii="宋体" w:hAnsi="宋体" w:eastAsia="宋体" w:cs="宋体"/>
          <w:b/>
          <w:bCs/>
          <w:color w:val="000000"/>
          <w:sz w:val="24"/>
          <w:szCs w:val="24"/>
          <w:highlight w:val="none"/>
          <w:lang w:val="en-US" w:eastAsia="zh-CN"/>
        </w:rPr>
      </w:pPr>
      <w:r/>
      <w:bookmarkStart w:id="25" w:name="_Toc21011"/>
      <w:r>
        <w:rPr>
          <w:rFonts w:hint="eastAsia" w:ascii="宋体" w:hAnsi="宋体" w:eastAsia="宋体" w:cs="宋体"/>
          <w:b/>
          <w:bCs w:val="0"/>
          <w:color w:val="000000"/>
          <w:sz w:val="24"/>
          <w:szCs w:val="24"/>
          <w:highlight w:val="none"/>
          <w:lang w:val="en-US" w:eastAsia="zh-CN"/>
        </w:rPr>
        <w:t xml:space="preserve">2.2设计进水水质</w:t>
      </w:r>
      <w:bookmarkEnd w:id="25"/>
      <w:r>
        <w:rPr>
          <w:rFonts w:hint="eastAsia" w:ascii="宋体" w:hAnsi="宋体" w:eastAsia="宋体" w:cs="宋体"/>
          <w:b/>
          <w:bCs/>
          <w:color w:val="000000"/>
          <w:sz w:val="24"/>
          <w:szCs w:val="24"/>
          <w:highlight w:val="none"/>
          <w:lang w:val="en-US" w:eastAsia="zh-CN"/>
        </w:rPr>
      </w:r>
      <w:r/>
    </w:p>
    <w:p>
      <w:pPr>
        <w:pStyle w:val="81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钓鱼山封场调节池中约有3000立方米渗滤液浓缩液需供应商进场后尽快将该调节池降至安全液位以内，供应商应自行勘查现场，调节池水质、水量具体以投标单位现场勘查、估算、取样、检测为准，供应商应结合现场踏勘结果进行设计并承担相关风险。</w:t>
      </w:r>
      <w:r>
        <w:rPr>
          <w:rFonts w:hint="eastAsia" w:ascii="宋体" w:hAnsi="宋体" w:eastAsia="宋体" w:cs="宋体"/>
          <w:color w:val="000000"/>
          <w:sz w:val="24"/>
          <w:szCs w:val="24"/>
          <w:highlight w:val="none"/>
          <w:lang w:val="en-US" w:eastAsia="zh-CN"/>
        </w:rPr>
      </w:r>
      <w:r/>
    </w:p>
    <w:p>
      <w:pPr>
        <w:pStyle w:val="813"/>
        <w:ind w:firstLine="482"/>
        <w:spacing w:line="360" w:lineRule="auto"/>
        <w:rPr>
          <w:rFonts w:hint="eastAsia" w:ascii="宋体" w:hAnsi="宋体" w:eastAsia="宋体" w:cs="宋体"/>
          <w:b/>
          <w:bCs w:val="0"/>
          <w:color w:val="000000"/>
          <w:sz w:val="24"/>
          <w:szCs w:val="24"/>
          <w:highlight w:val="none"/>
          <w:lang w:val="en-US" w:eastAsia="zh-CN"/>
        </w:rPr>
      </w:pPr>
      <w:r/>
      <w:bookmarkStart w:id="26" w:name="_Toc17109"/>
      <w:r>
        <w:rPr>
          <w:rFonts w:hint="eastAsia" w:ascii="宋体" w:hAnsi="宋体" w:eastAsia="宋体" w:cs="宋体"/>
          <w:b/>
          <w:bCs w:val="0"/>
          <w:color w:val="000000"/>
          <w:sz w:val="24"/>
          <w:szCs w:val="24"/>
          <w:highlight w:val="none"/>
          <w:lang w:val="en-US" w:eastAsia="zh-CN"/>
        </w:rPr>
        <w:t xml:space="preserve">2.3设计出水水质</w:t>
      </w:r>
      <w:bookmarkEnd w:id="26"/>
      <w:r>
        <w:rPr>
          <w:rFonts w:hint="eastAsia" w:ascii="宋体" w:hAnsi="宋体" w:eastAsia="宋体" w:cs="宋体"/>
          <w:b/>
          <w:bCs w:val="0"/>
          <w:color w:val="000000"/>
          <w:sz w:val="24"/>
          <w:szCs w:val="24"/>
          <w:highlight w:val="none"/>
          <w:lang w:val="en-US" w:eastAsia="zh-CN"/>
        </w:rPr>
      </w:r>
      <w:r/>
    </w:p>
    <w:p>
      <w:pPr>
        <w:pStyle w:val="81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项目全量化处理后出水执行《生活垃圾填埋场污染控制标准》（GB16889-2024）表4排放限制要求，进入污水管网。</w:t>
      </w:r>
      <w:r>
        <w:rPr>
          <w:rFonts w:hint="eastAsia" w:ascii="宋体" w:hAnsi="宋体" w:eastAsia="宋体" w:cs="宋体"/>
          <w:color w:val="000000"/>
          <w:sz w:val="24"/>
          <w:szCs w:val="24"/>
          <w:highlight w:val="none"/>
          <w:lang w:val="en-US" w:eastAsia="zh-CN"/>
        </w:rPr>
      </w:r>
      <w:r/>
    </w:p>
    <w:p>
      <w:pPr>
        <w:pStyle w:val="813"/>
        <w:ind w:firstLine="482"/>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2.4工艺路线选择</w:t>
      </w:r>
      <w:r>
        <w:rPr>
          <w:rFonts w:hint="eastAsia" w:ascii="宋体" w:hAnsi="宋体" w:eastAsia="宋体" w:cs="宋体"/>
          <w:b/>
          <w:bCs w:val="0"/>
          <w:color w:val="000000"/>
          <w:sz w:val="24"/>
          <w:szCs w:val="24"/>
          <w:highlight w:val="none"/>
          <w:lang w:val="en-US" w:eastAsia="zh-CN"/>
        </w:rPr>
      </w:r>
      <w:r/>
    </w:p>
    <w:p>
      <w:pPr>
        <w:pStyle w:val="813"/>
        <w:numPr>
          <w:ilvl w:val="0"/>
          <w:numId w:val="0"/>
        </w:numPr>
        <w:ind w:firstLine="480"/>
        <w:jc w:val="left"/>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本项目中钓鱼山封场渗滤液处理由供应商自带设施设备进行渗滤液处理，工艺路线：“生化+高级氧化”为主体工艺路线的全量化处理系统，要求工艺抗水质冲击负荷能力强，不得产生浓缩液。</w:t>
      </w:r>
      <w:r>
        <w:rPr>
          <w:rFonts w:hint="eastAsia" w:ascii="宋体" w:hAnsi="宋体" w:eastAsia="宋体" w:cs="宋体"/>
          <w:bCs/>
          <w:color w:val="000000"/>
          <w:sz w:val="24"/>
          <w:szCs w:val="24"/>
          <w:highlight w:val="none"/>
          <w:lang w:val="en-US" w:eastAsia="zh-CN"/>
        </w:rPr>
      </w:r>
      <w:r/>
    </w:p>
    <w:p>
      <w:pPr>
        <w:pStyle w:val="813"/>
        <w:numPr>
          <w:ilvl w:val="0"/>
          <w:numId w:val="0"/>
        </w:numPr>
        <w:ind w:firstLine="480"/>
        <w:jc w:val="left"/>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供应商可对钓鱼山封场渗滤液处理站进行适当利旧，供应商须完善安全、环保等措施。</w:t>
      </w:r>
      <w:r>
        <w:rPr>
          <w:rFonts w:hint="eastAsia" w:ascii="宋体" w:hAnsi="宋体" w:eastAsia="宋体" w:cs="宋体"/>
          <w:b/>
          <w:bCs w:val="0"/>
          <w:color w:val="000000"/>
          <w:sz w:val="24"/>
          <w:szCs w:val="24"/>
          <w:highlight w:val="none"/>
          <w:lang w:val="en-US" w:eastAsia="zh-CN"/>
        </w:rPr>
        <w:t xml:space="preserve">本项目产生的污泥等固废产物，由供应商自行按规范处置，相关一切费用由供应商承担。</w:t>
      </w:r>
      <w:r>
        <w:rPr>
          <w:rFonts w:hint="eastAsia" w:ascii="宋体" w:hAnsi="宋体" w:eastAsia="宋体" w:cs="宋体"/>
          <w:bCs/>
          <w:color w:val="000000"/>
          <w:sz w:val="24"/>
          <w:szCs w:val="24"/>
          <w:highlight w:val="none"/>
          <w:lang w:eastAsia="zh-CN"/>
        </w:rPr>
      </w:r>
      <w:r/>
    </w:p>
    <w:p>
      <w:pPr>
        <w:pStyle w:val="813"/>
        <w:ind w:firstLine="482"/>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2.5可用地情况</w:t>
      </w:r>
      <w:r>
        <w:rPr>
          <w:rFonts w:hint="eastAsia" w:ascii="宋体" w:hAnsi="宋体" w:eastAsia="宋体" w:cs="宋体"/>
          <w:b/>
          <w:bCs w:val="0"/>
          <w:color w:val="000000"/>
          <w:sz w:val="24"/>
          <w:szCs w:val="24"/>
          <w:highlight w:val="none"/>
          <w:lang w:val="en-US" w:eastAsia="zh-CN"/>
        </w:rPr>
      </w:r>
      <w:r/>
    </w:p>
    <w:p>
      <w:pPr>
        <w:pStyle w:val="813"/>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项目用地请供应商自行勘查现场，并确定自带设备的摆放位置，</w:t>
      </w:r>
      <w:r>
        <w:rPr>
          <w:rFonts w:hint="eastAsia" w:ascii="宋体" w:hAnsi="宋体" w:eastAsia="宋体" w:cs="宋体"/>
          <w:b/>
          <w:bCs/>
          <w:color w:val="000000"/>
          <w:sz w:val="24"/>
          <w:szCs w:val="24"/>
          <w:highlight w:val="none"/>
          <w:lang w:val="en-US" w:eastAsia="zh-CN"/>
        </w:rPr>
        <w:t xml:space="preserve">相关用地硬化等由供应商自行解决。</w:t>
      </w:r>
      <w:r>
        <w:rPr>
          <w:rFonts w:hint="eastAsia" w:ascii="宋体" w:hAnsi="宋体" w:eastAsia="宋体" w:cs="宋体"/>
          <w:b/>
          <w:bCs/>
          <w:color w:val="000000"/>
          <w:sz w:val="24"/>
          <w:szCs w:val="24"/>
          <w:highlight w:val="none"/>
          <w:lang w:val="en-US" w:eastAsia="zh-CN"/>
        </w:rPr>
      </w:r>
      <w:r/>
    </w:p>
    <w:p>
      <w:pPr>
        <w:pStyle w:val="813"/>
        <w:ind w:firstLine="482"/>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2.6现场池体与设备情况</w:t>
      </w:r>
      <w:r>
        <w:rPr>
          <w:rFonts w:hint="eastAsia" w:ascii="宋体" w:hAnsi="宋体" w:eastAsia="宋体" w:cs="宋体"/>
          <w:b/>
          <w:bCs w:val="0"/>
          <w:color w:val="000000"/>
          <w:sz w:val="24"/>
          <w:szCs w:val="24"/>
          <w:highlight w:val="none"/>
          <w:lang w:val="en-US" w:eastAsia="zh-CN"/>
        </w:rPr>
      </w:r>
      <w:r/>
    </w:p>
    <w:p>
      <w:pPr>
        <w:pStyle w:val="81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2.6.1原有构筑物设施</w:t>
      </w:r>
      <w:r>
        <w:rPr>
          <w:rFonts w:hint="eastAsia" w:ascii="宋体" w:hAnsi="宋体" w:eastAsia="宋体" w:cs="宋体"/>
          <w:color w:val="000000"/>
          <w:sz w:val="24"/>
          <w:szCs w:val="24"/>
          <w:highlight w:val="none"/>
          <w:lang w:val="en-US" w:eastAsia="zh-CN"/>
        </w:rPr>
      </w:r>
      <w:r/>
    </w:p>
    <w:tbl>
      <w:tblPr>
        <w:tblStyle w:val="881"/>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677"/>
        <w:gridCol w:w="2136"/>
        <w:gridCol w:w="1217"/>
        <w:gridCol w:w="1218"/>
        <w:gridCol w:w="1218"/>
        <w:gridCol w:w="1218"/>
      </w:tblGrid>
      <w:tr>
        <w:trPr/>
        <w:tc>
          <w:tcPr>
            <w:gridSpan w:val="7"/>
            <w:shd w:val="clear" w:color="auto" w:fill="ffffff"/>
            <w:tcW w:w="9441" w:type="dxa"/>
            <w:vAlign w:val="center"/>
            <w:textDirection w:val="lrTb"/>
            <w:noWrap w:val="false"/>
          </w:tcPr>
          <w:p>
            <w:pPr>
              <w:pStyle w:val="813"/>
              <w:ind w:left="0" w:right="0" w:firstLine="0"/>
              <w:jc w:val="center"/>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原有建构筑物表</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757" w:type="dxa"/>
            <w:vAlign w:val="center"/>
            <w:textDirection w:val="lrTb"/>
            <w:noWrap w:val="false"/>
          </w:tcPr>
          <w:p>
            <w:pPr>
              <w:pStyle w:val="813"/>
              <w:ind w:left="0" w:right="0" w:firstLine="0"/>
              <w:jc w:val="center"/>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序号</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677" w:type="dxa"/>
            <w:vAlign w:val="center"/>
            <w:textDirection w:val="lrTb"/>
            <w:noWrap w:val="false"/>
          </w:tcPr>
          <w:p>
            <w:pPr>
              <w:pStyle w:val="813"/>
              <w:ind w:left="0" w:right="0" w:firstLine="0"/>
              <w:jc w:val="center"/>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原有构筑物名称</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217" w:type="dxa"/>
            <w:vAlign w:val="center"/>
            <w:textDirection w:val="lrTb"/>
            <w:noWrap w:val="false"/>
          </w:tcPr>
          <w:p>
            <w:pPr>
              <w:pStyle w:val="813"/>
              <w:ind w:left="0" w:right="0" w:firstLine="0"/>
              <w:jc w:val="center"/>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规格参数（L</w:t>
            </w:r>
            <w:r>
              <w:rPr>
                <w:rFonts w:hint="eastAsia" w:ascii="宋体" w:hAnsi="宋体" w:eastAsia="宋体" w:cs="宋体"/>
                <w:b w:val="0"/>
                <w:color w:val="000000"/>
                <w:sz w:val="24"/>
                <w:szCs w:val="24"/>
                <w:highlight w:val="none"/>
                <w:u w:val="none"/>
                <w:lang w:val="en-US" w:eastAsia="zh-CN" w:bidi="ar"/>
              </w:rPr>
              <w:t xml:space="preserve">×</w:t>
            </w:r>
            <w:r>
              <w:rPr>
                <w:rFonts w:hint="eastAsia" w:ascii="宋体" w:hAnsi="宋体" w:eastAsia="宋体" w:cs="宋体"/>
                <w:b w:val="0"/>
                <w:bCs w:val="0"/>
                <w:color w:val="000000"/>
                <w:sz w:val="24"/>
                <w:szCs w:val="24"/>
                <w:highlight w:val="none"/>
                <w:vertAlign w:val="baseline"/>
                <w:lang w:val="en-US" w:eastAsia="zh-CN" w:bidi="ar-SA"/>
              </w:rPr>
              <w:t xml:space="preserve">B</w:t>
            </w:r>
            <w:r>
              <w:rPr>
                <w:rFonts w:hint="eastAsia" w:ascii="宋体" w:hAnsi="宋体" w:eastAsia="宋体" w:cs="宋体"/>
                <w:b w:val="0"/>
                <w:color w:val="000000"/>
                <w:sz w:val="24"/>
                <w:szCs w:val="24"/>
                <w:highlight w:val="none"/>
                <w:u w:val="none"/>
                <w:lang w:val="en-US" w:eastAsia="zh-CN" w:bidi="ar"/>
              </w:rPr>
              <w:t xml:space="preserve">×</w:t>
            </w:r>
            <w:r>
              <w:rPr>
                <w:rFonts w:hint="eastAsia" w:ascii="宋体" w:hAnsi="宋体" w:eastAsia="宋体" w:cs="宋体"/>
                <w:b w:val="0"/>
                <w:bCs w:val="0"/>
                <w:color w:val="000000"/>
                <w:sz w:val="24"/>
                <w:szCs w:val="24"/>
                <w:highlight w:val="none"/>
                <w:vertAlign w:val="baseline"/>
                <w:lang w:val="en-US" w:eastAsia="zh-CN" w:bidi="ar-SA"/>
              </w:rPr>
              <w:t xml:space="preserve">H）</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217" w:type="dxa"/>
            <w:vAlign w:val="center"/>
            <w:textDirection w:val="lrTb"/>
            <w:noWrap w:val="false"/>
          </w:tcPr>
          <w:p>
            <w:pPr>
              <w:pStyle w:val="813"/>
              <w:ind w:left="0" w:right="0" w:firstLine="0"/>
              <w:jc w:val="center"/>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单位</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218" w:type="dxa"/>
            <w:vAlign w:val="center"/>
            <w:textDirection w:val="lrTb"/>
            <w:noWrap w:val="false"/>
          </w:tcPr>
          <w:p>
            <w:pPr>
              <w:pStyle w:val="813"/>
              <w:ind w:left="0" w:right="0" w:firstLine="0"/>
              <w:jc w:val="center"/>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数量</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218" w:type="dxa"/>
            <w:vAlign w:val="center"/>
            <w:textDirection w:val="lrTb"/>
            <w:noWrap w:val="false"/>
          </w:tcPr>
          <w:p>
            <w:pPr>
              <w:pStyle w:val="813"/>
              <w:ind w:left="0" w:right="0" w:firstLine="0"/>
              <w:jc w:val="center"/>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材质</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218" w:type="dxa"/>
            <w:vAlign w:val="center"/>
            <w:textDirection w:val="lrTb"/>
            <w:noWrap w:val="false"/>
          </w:tcPr>
          <w:p>
            <w:pPr>
              <w:pStyle w:val="813"/>
              <w:ind w:left="0" w:right="0" w:firstLine="0"/>
              <w:jc w:val="center"/>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结构型式</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757"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67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沉淀池</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2.4m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3.8m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5.0m</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座</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218"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钢砼</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地上</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757"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67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A</w:t>
            </w:r>
            <w:r>
              <w:rPr>
                <w:rStyle w:val="1066"/>
                <w:rFonts w:hint="eastAsia" w:ascii="宋体" w:hAnsi="宋体" w:eastAsia="宋体" w:cs="宋体"/>
                <w:b w:val="0"/>
                <w:color w:val="000000"/>
                <w:sz w:val="24"/>
                <w:szCs w:val="24"/>
                <w:highlight w:val="none"/>
                <w:lang w:val="en-US" w:eastAsia="zh-CN" w:bidi="ar"/>
              </w:rPr>
              <w:t xml:space="preserve">池1#</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4m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3.8m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5.0m</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座</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钢砼</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地上</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757"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3</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67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A</w:t>
            </w:r>
            <w:r>
              <w:rPr>
                <w:rStyle w:val="1066"/>
                <w:rFonts w:hint="eastAsia" w:ascii="宋体" w:hAnsi="宋体" w:eastAsia="宋体" w:cs="宋体"/>
                <w:b w:val="0"/>
                <w:color w:val="000000"/>
                <w:sz w:val="24"/>
                <w:szCs w:val="24"/>
                <w:highlight w:val="none"/>
                <w:lang w:val="en-US" w:eastAsia="zh-CN" w:bidi="ar"/>
              </w:rPr>
              <w:t xml:space="preserve">池2#</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4m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3.8m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5.0m</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座</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钢砼</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地上</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757"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4</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67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A</w:t>
            </w:r>
            <w:r>
              <w:rPr>
                <w:rStyle w:val="1066"/>
                <w:rFonts w:hint="eastAsia" w:ascii="宋体" w:hAnsi="宋体" w:eastAsia="宋体" w:cs="宋体"/>
                <w:b w:val="0"/>
                <w:color w:val="000000"/>
                <w:sz w:val="24"/>
                <w:szCs w:val="24"/>
                <w:highlight w:val="none"/>
                <w:lang w:val="en-US" w:eastAsia="zh-CN" w:bidi="ar"/>
              </w:rPr>
              <w:t xml:space="preserve">池3#</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4m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3.8m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5.0m</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座</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钢砼</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地上</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757"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67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A</w:t>
            </w:r>
            <w:r>
              <w:rPr>
                <w:rStyle w:val="1066"/>
                <w:rFonts w:hint="eastAsia" w:ascii="宋体" w:hAnsi="宋体" w:eastAsia="宋体" w:cs="宋体"/>
                <w:b w:val="0"/>
                <w:color w:val="000000"/>
                <w:sz w:val="24"/>
                <w:szCs w:val="24"/>
                <w:highlight w:val="none"/>
                <w:lang w:val="en-US" w:eastAsia="zh-CN" w:bidi="ar"/>
              </w:rPr>
              <w:t xml:space="preserve">池4#</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1.6m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4.8m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4.5m</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座</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钢砼</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地上</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757"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6</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67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O</w:t>
            </w:r>
            <w:r>
              <w:rPr>
                <w:rStyle w:val="1066"/>
                <w:rFonts w:hint="eastAsia" w:ascii="宋体" w:hAnsi="宋体" w:eastAsia="宋体" w:cs="宋体"/>
                <w:b w:val="0"/>
                <w:color w:val="000000"/>
                <w:sz w:val="24"/>
                <w:szCs w:val="24"/>
                <w:highlight w:val="none"/>
                <w:lang w:val="en-US" w:eastAsia="zh-CN" w:bidi="ar"/>
              </w:rPr>
              <w:t xml:space="preserve">池1#</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1.8m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4.8m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4.5m</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座</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钢砼</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地上</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757"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7</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67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O</w:t>
            </w:r>
            <w:r>
              <w:rPr>
                <w:rStyle w:val="1066"/>
                <w:rFonts w:hint="eastAsia" w:ascii="宋体" w:hAnsi="宋体" w:eastAsia="宋体" w:cs="宋体"/>
                <w:b w:val="0"/>
                <w:color w:val="000000"/>
                <w:sz w:val="24"/>
                <w:szCs w:val="24"/>
                <w:highlight w:val="none"/>
                <w:lang w:val="en-US" w:eastAsia="zh-CN" w:bidi="ar"/>
              </w:rPr>
              <w:t xml:space="preserve">池2#</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1.8m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4.8m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4.5m</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座</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钢砼</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地上</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757"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8</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67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O</w:t>
            </w:r>
            <w:r>
              <w:rPr>
                <w:rStyle w:val="1066"/>
                <w:rFonts w:hint="eastAsia" w:ascii="宋体" w:hAnsi="宋体" w:eastAsia="宋体" w:cs="宋体"/>
                <w:b w:val="0"/>
                <w:color w:val="000000"/>
                <w:sz w:val="24"/>
                <w:szCs w:val="24"/>
                <w:highlight w:val="none"/>
                <w:lang w:val="en-US" w:eastAsia="zh-CN" w:bidi="ar"/>
              </w:rPr>
              <w:t xml:space="preserve">池3#</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3.3m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4.8m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4.5m</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座</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钢砼</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地上</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757"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9</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67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O</w:t>
            </w:r>
            <w:r>
              <w:rPr>
                <w:rStyle w:val="1066"/>
                <w:rFonts w:hint="eastAsia" w:ascii="宋体" w:hAnsi="宋体" w:eastAsia="宋体" w:cs="宋体"/>
                <w:b w:val="0"/>
                <w:color w:val="000000"/>
                <w:sz w:val="24"/>
                <w:szCs w:val="24"/>
                <w:highlight w:val="none"/>
                <w:lang w:val="en-US" w:eastAsia="zh-CN" w:bidi="ar"/>
              </w:rPr>
              <w:t xml:space="preserve">池4#</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3.3m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4.8m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4.5m</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座</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钢砼</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地上</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757"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67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O</w:t>
            </w:r>
            <w:r>
              <w:rPr>
                <w:rStyle w:val="1066"/>
                <w:rFonts w:hint="eastAsia" w:ascii="宋体" w:hAnsi="宋体" w:eastAsia="宋体" w:cs="宋体"/>
                <w:b w:val="0"/>
                <w:color w:val="000000"/>
                <w:sz w:val="24"/>
                <w:szCs w:val="24"/>
                <w:highlight w:val="none"/>
                <w:lang w:val="en-US" w:eastAsia="zh-CN" w:bidi="ar"/>
              </w:rPr>
              <w:t xml:space="preserve">池5#</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3.3m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4.8m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4.5m</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座</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钢砼</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地上</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757"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11</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67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沉淀池</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2.2m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2.2m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4.5m</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座</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钢砼</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地上</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757"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12</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67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rPr>
              <w:t xml:space="preserve">水池1#</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1.3m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2.2m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4.5m</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座</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钢砼</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地上</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757"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13</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67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rPr>
              <w:t xml:space="preserve">水池2#</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1.3m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2.2m</w:t>
            </w:r>
            <w:r>
              <w:rPr>
                <w:rStyle w:val="1066"/>
                <w:rFonts w:hint="eastAsia" w:ascii="宋体" w:hAnsi="宋体" w:eastAsia="宋体" w:cs="宋体"/>
                <w:b w:val="0"/>
                <w:color w:val="000000"/>
                <w:sz w:val="24"/>
                <w:szCs w:val="24"/>
                <w:highlight w:val="none"/>
                <w:lang w:val="en-US" w:eastAsia="zh-CN" w:bidi="ar"/>
              </w:rPr>
              <w:t xml:space="preserve">×</w:t>
            </w:r>
            <w:r>
              <w:rPr>
                <w:rFonts w:hint="eastAsia" w:ascii="宋体" w:hAnsi="宋体" w:eastAsia="宋体" w:cs="宋体"/>
                <w:b w:val="0"/>
                <w:i w:val="0"/>
                <w:iCs w:val="0"/>
                <w:color w:val="000000"/>
                <w:sz w:val="24"/>
                <w:szCs w:val="24"/>
                <w:highlight w:val="none"/>
                <w:u w:val="none"/>
                <w:lang w:val="en-US" w:eastAsia="zh-CN" w:bidi="ar"/>
              </w:rPr>
              <w:t xml:space="preserve">4.5m</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7"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座</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vertAlign w:val="baseline"/>
                <w:lang w:val="en-US" w:eastAsia="zh-CN"/>
              </w:rPr>
              <w:suppressLineNumbers w:val="0"/>
            </w:pPr>
            <w:r>
              <w:rPr>
                <w:rStyle w:val="1066"/>
                <w:rFonts w:hint="eastAsia" w:ascii="宋体" w:hAnsi="宋体" w:eastAsia="宋体" w:cs="宋体"/>
                <w:b w:val="0"/>
                <w:color w:val="000000"/>
                <w:sz w:val="24"/>
                <w:szCs w:val="24"/>
                <w:highlight w:val="none"/>
                <w:lang w:val="en-US" w:eastAsia="zh-CN" w:bidi="ar"/>
              </w:rPr>
              <w:t xml:space="preserve">钢砼</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218" w:type="dxa"/>
            <w:vAlign w:val="center"/>
            <w:textDirection w:val="lrTb"/>
            <w:noWrap w:val="false"/>
          </w:tcPr>
          <w:p>
            <w:pPr>
              <w:pStyle w:val="813"/>
              <w:ind w:firstLine="0"/>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地上</w:t>
            </w:r>
            <w:r>
              <w:rPr>
                <w:rFonts w:hint="eastAsia" w:ascii="宋体" w:hAnsi="宋体" w:eastAsia="宋体" w:cs="宋体"/>
                <w:b w:val="0"/>
                <w:bCs w:val="0"/>
                <w:color w:val="000000"/>
                <w:sz w:val="24"/>
                <w:szCs w:val="24"/>
                <w:highlight w:val="none"/>
                <w:vertAlign w:val="baseline"/>
                <w:lang w:val="en-US" w:eastAsia="zh-CN" w:bidi="ar-SA"/>
              </w:rPr>
            </w:r>
            <w:r/>
          </w:p>
        </w:tc>
      </w:tr>
    </w:tbl>
    <w:p>
      <w:pPr>
        <w:pStyle w:val="813"/>
        <w:ind w:left="0" w:right="0" w:firstLine="0"/>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备注：原有构筑物分两座，均为地上结构，高度分别为地上5.0m和地上4.5m。</w:t>
      </w:r>
      <w:r>
        <w:rPr>
          <w:rFonts w:hint="eastAsia" w:ascii="宋体" w:hAnsi="宋体" w:eastAsia="宋体" w:cs="宋体"/>
          <w:b/>
          <w:bCs/>
          <w:color w:val="000000"/>
          <w:sz w:val="24"/>
          <w:szCs w:val="24"/>
          <w:highlight w:val="none"/>
          <w:lang w:val="en-US" w:eastAsia="zh-CN" w:bidi="ar-SA"/>
        </w:rPr>
      </w:r>
      <w:r/>
    </w:p>
    <w:p>
      <w:pPr>
        <w:pStyle w:val="81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2.6.2原有设备</w:t>
      </w:r>
      <w:r>
        <w:rPr>
          <w:rFonts w:hint="eastAsia" w:ascii="宋体" w:hAnsi="宋体" w:eastAsia="宋体" w:cs="宋体"/>
          <w:color w:val="000000"/>
          <w:sz w:val="24"/>
          <w:szCs w:val="24"/>
          <w:highlight w:val="none"/>
          <w:lang w:val="en-US" w:eastAsia="zh-CN"/>
        </w:rPr>
      </w:r>
      <w:r/>
    </w:p>
    <w:tbl>
      <w:tblPr>
        <w:tblStyle w:val="8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2312"/>
        <w:gridCol w:w="3135"/>
        <w:gridCol w:w="817"/>
        <w:gridCol w:w="1162"/>
      </w:tblGrid>
      <w:tr>
        <w:trPr/>
        <w:tc>
          <w:tcPr>
            <w:shd w:val="clear" w:color="auto" w:fill="ffffff"/>
            <w:tcW w:w="1096" w:type="dxa"/>
            <w:vAlign w:val="center"/>
            <w:textDirection w:val="lrTb"/>
            <w:noWrap w:val="false"/>
          </w:tcPr>
          <w:p>
            <w:pPr>
              <w:pStyle w:val="813"/>
              <w:ind w:left="0" w:right="0" w:firstLine="0"/>
              <w:jc w:val="center"/>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序号</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2312" w:type="dxa"/>
            <w:vAlign w:val="center"/>
            <w:textDirection w:val="lrTb"/>
            <w:noWrap w:val="false"/>
          </w:tcPr>
          <w:p>
            <w:pPr>
              <w:pStyle w:val="813"/>
              <w:ind w:left="0" w:right="0" w:firstLine="0"/>
              <w:jc w:val="center"/>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设备名称</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3135" w:type="dxa"/>
            <w:vAlign w:val="center"/>
            <w:textDirection w:val="lrTb"/>
            <w:noWrap w:val="false"/>
          </w:tcPr>
          <w:p>
            <w:pPr>
              <w:pStyle w:val="813"/>
              <w:ind w:left="0" w:right="0" w:firstLine="0"/>
              <w:jc w:val="center"/>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规格型号</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817" w:type="dxa"/>
            <w:vAlign w:val="center"/>
            <w:textDirection w:val="lrTb"/>
            <w:noWrap w:val="false"/>
          </w:tcPr>
          <w:p>
            <w:pPr>
              <w:pStyle w:val="813"/>
              <w:ind w:left="0" w:right="0" w:firstLine="0"/>
              <w:jc w:val="center"/>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数量</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162" w:type="dxa"/>
            <w:vAlign w:val="center"/>
            <w:textDirection w:val="lrTb"/>
            <w:noWrap w:val="false"/>
          </w:tcPr>
          <w:p>
            <w:pPr>
              <w:pStyle w:val="813"/>
              <w:ind w:left="0" w:right="0" w:firstLine="0"/>
              <w:jc w:val="center"/>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单位</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1096" w:type="dxa"/>
            <w:vAlign w:val="center"/>
            <w:textDirection w:val="lrTb"/>
            <w:noWrap w:val="false"/>
          </w:tcPr>
          <w:p>
            <w:pPr>
              <w:pStyle w:val="813"/>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2312" w:type="dxa"/>
            <w:vAlign w:val="center"/>
            <w:textDirection w:val="lrTb"/>
            <w:noWrap w:val="false"/>
          </w:tcPr>
          <w:p>
            <w:pPr>
              <w:pStyle w:val="813"/>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风机</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3135" w:type="dxa"/>
            <w:vAlign w:val="center"/>
            <w:textDirection w:val="lrTb"/>
            <w:noWrap w:val="false"/>
          </w:tcPr>
          <w:p>
            <w:pPr>
              <w:pStyle w:val="813"/>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i w:val="0"/>
                <w:iCs w:val="0"/>
                <w:color w:val="000000"/>
                <w:sz w:val="24"/>
                <w:szCs w:val="24"/>
                <w:highlight w:val="none"/>
                <w:u w:val="none"/>
                <w:lang w:val="en-US" w:eastAsia="zh-CN" w:bidi="ar"/>
              </w:rPr>
              <w:t xml:space="preserve">Q=5.92m</w:t>
            </w:r>
            <w:r>
              <w:rPr>
                <w:rFonts w:hint="eastAsia" w:ascii="宋体" w:hAnsi="宋体" w:eastAsia="宋体" w:cs="宋体"/>
                <w:b w:val="0"/>
                <w:i w:val="0"/>
                <w:iCs w:val="0"/>
                <w:color w:val="000000"/>
                <w:sz w:val="24"/>
                <w:szCs w:val="24"/>
                <w:highlight w:val="none"/>
                <w:u w:val="none"/>
                <w:vertAlign w:val="superscript"/>
                <w:lang w:val="en-US" w:eastAsia="zh-CN" w:bidi="ar"/>
              </w:rPr>
              <w:t xml:space="preserve">3</w:t>
            </w:r>
            <w:r>
              <w:rPr>
                <w:rFonts w:hint="eastAsia" w:ascii="宋体" w:hAnsi="宋体" w:eastAsia="宋体" w:cs="宋体"/>
                <w:b w:val="0"/>
                <w:i w:val="0"/>
                <w:iCs w:val="0"/>
                <w:color w:val="000000"/>
                <w:sz w:val="24"/>
                <w:szCs w:val="24"/>
                <w:highlight w:val="none"/>
                <w:u w:val="none"/>
                <w:lang w:val="en-US" w:eastAsia="zh-CN" w:bidi="ar"/>
              </w:rPr>
              <w:t xml:space="preserve">/h，6m，N=11kw</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817" w:type="dxa"/>
            <w:vAlign w:val="center"/>
            <w:textDirection w:val="lrTb"/>
            <w:noWrap w:val="false"/>
          </w:tcPr>
          <w:p>
            <w:pPr>
              <w:pStyle w:val="813"/>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162" w:type="dxa"/>
            <w:vAlign w:val="center"/>
            <w:textDirection w:val="lrTb"/>
            <w:noWrap w:val="false"/>
          </w:tcPr>
          <w:p>
            <w:pPr>
              <w:pStyle w:val="813"/>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台</w:t>
            </w:r>
            <w:r>
              <w:rPr>
                <w:rFonts w:hint="eastAsia" w:ascii="宋体" w:hAnsi="宋体" w:eastAsia="宋体" w:cs="宋体"/>
                <w:b w:val="0"/>
                <w:bCs w:val="0"/>
                <w:color w:val="000000"/>
                <w:sz w:val="24"/>
                <w:szCs w:val="24"/>
                <w:highlight w:val="none"/>
                <w:vertAlign w:val="baseline"/>
                <w:lang w:val="en-US" w:eastAsia="zh-CN" w:bidi="ar-SA"/>
              </w:rPr>
            </w:r>
            <w:r/>
          </w:p>
        </w:tc>
      </w:tr>
      <w:tr>
        <w:trPr/>
        <w:tc>
          <w:tcPr>
            <w:shd w:val="clear" w:color="auto" w:fill="ffffff"/>
            <w:tcW w:w="1096" w:type="dxa"/>
            <w:vAlign w:val="center"/>
            <w:textDirection w:val="lrTb"/>
            <w:noWrap w:val="false"/>
          </w:tcPr>
          <w:p>
            <w:pPr>
              <w:pStyle w:val="813"/>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2312" w:type="dxa"/>
            <w:vAlign w:val="center"/>
            <w:textDirection w:val="lrTb"/>
            <w:noWrap w:val="false"/>
          </w:tcPr>
          <w:p>
            <w:pPr>
              <w:pStyle w:val="813"/>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两级DTRO设备</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3135" w:type="dxa"/>
            <w:vAlign w:val="center"/>
            <w:textDirection w:val="lrTb"/>
            <w:noWrap w:val="false"/>
          </w:tcPr>
          <w:p>
            <w:pPr>
              <w:pStyle w:val="813"/>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50吨/天</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817" w:type="dxa"/>
            <w:vAlign w:val="center"/>
            <w:textDirection w:val="lrTb"/>
            <w:noWrap w:val="false"/>
          </w:tcPr>
          <w:p>
            <w:pPr>
              <w:pStyle w:val="813"/>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w:t>
            </w:r>
            <w:r>
              <w:rPr>
                <w:rFonts w:hint="eastAsia" w:ascii="宋体" w:hAnsi="宋体" w:eastAsia="宋体" w:cs="宋体"/>
                <w:b w:val="0"/>
                <w:bCs w:val="0"/>
                <w:color w:val="000000"/>
                <w:sz w:val="24"/>
                <w:szCs w:val="24"/>
                <w:highlight w:val="none"/>
                <w:vertAlign w:val="baseline"/>
                <w:lang w:val="en-US" w:eastAsia="zh-CN" w:bidi="ar-SA"/>
              </w:rPr>
            </w:r>
            <w:r/>
          </w:p>
        </w:tc>
        <w:tc>
          <w:tcPr>
            <w:shd w:val="clear" w:color="auto" w:fill="ffffff"/>
            <w:tcW w:w="1162" w:type="dxa"/>
            <w:vAlign w:val="center"/>
            <w:textDirection w:val="lrTb"/>
            <w:noWrap w:val="false"/>
          </w:tcPr>
          <w:p>
            <w:pPr>
              <w:pStyle w:val="813"/>
              <w:jc w:val="center"/>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套</w:t>
            </w:r>
            <w:r>
              <w:rPr>
                <w:rFonts w:hint="eastAsia" w:ascii="宋体" w:hAnsi="宋体" w:eastAsia="宋体" w:cs="宋体"/>
                <w:b w:val="0"/>
                <w:bCs w:val="0"/>
                <w:color w:val="000000"/>
                <w:sz w:val="24"/>
                <w:szCs w:val="24"/>
                <w:highlight w:val="none"/>
                <w:vertAlign w:val="baseline"/>
                <w:lang w:val="en-US" w:eastAsia="zh-CN" w:bidi="ar-SA"/>
              </w:rPr>
            </w:r>
            <w:r/>
          </w:p>
        </w:tc>
      </w:tr>
    </w:tbl>
    <w:p>
      <w:pPr>
        <w:pStyle w:val="813"/>
        <w:ind w:left="0" w:right="0" w:firstLine="0"/>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备注：因设施年限已久，设备使用状态由供应商自行勘察。</w:t>
      </w:r>
      <w:r>
        <w:rPr>
          <w:rFonts w:hint="eastAsia" w:ascii="宋体" w:hAnsi="宋体" w:eastAsia="宋体" w:cs="宋体"/>
          <w:b/>
          <w:bCs/>
          <w:color w:val="000000"/>
          <w:sz w:val="24"/>
          <w:szCs w:val="24"/>
          <w:highlight w:val="none"/>
          <w:lang w:val="en-US" w:eastAsia="zh-CN" w:bidi="ar-SA"/>
        </w:rPr>
      </w:r>
      <w:r/>
    </w:p>
    <w:p>
      <w:pPr>
        <w:pStyle w:val="813"/>
        <w:ind w:left="0" w:right="0" w:firstLine="482"/>
        <w:jc w:val="both"/>
        <w:spacing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2.7 可用变压器容量情况</w:t>
      </w:r>
      <w:r>
        <w:rPr>
          <w:rFonts w:hint="eastAsia" w:ascii="宋体" w:hAnsi="宋体" w:eastAsia="宋体" w:cs="宋体"/>
          <w:b/>
          <w:bCs w:val="0"/>
          <w:color w:val="000000"/>
          <w:sz w:val="24"/>
          <w:szCs w:val="24"/>
          <w:highlight w:val="none"/>
          <w:lang w:val="en-US" w:eastAsia="zh-CN" w:bidi="ar-SA"/>
        </w:rPr>
      </w:r>
      <w:r/>
    </w:p>
    <w:p>
      <w:pPr>
        <w:pStyle w:val="81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项目现场有210kVA变压器一台，供应商应根据实际情况进行增容，相关费用由供应商承担，原变压器由供应商自行处理，增容后的变压器及相关配套设施归采购人所有。</w:t>
      </w:r>
      <w:r>
        <w:rPr>
          <w:rFonts w:hint="eastAsia" w:ascii="宋体" w:hAnsi="宋体" w:eastAsia="宋体" w:cs="宋体"/>
          <w:color w:val="000000"/>
          <w:sz w:val="24"/>
          <w:szCs w:val="24"/>
          <w:highlight w:val="none"/>
          <w:lang w:val="en-US" w:eastAsia="zh-CN"/>
        </w:rPr>
      </w:r>
      <w:r/>
    </w:p>
    <w:p>
      <w:pPr>
        <w:pStyle w:val="81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 在线监测设备升级改造</w:t>
      </w:r>
      <w:r>
        <w:rPr>
          <w:rFonts w:hint="eastAsia" w:ascii="宋体" w:hAnsi="宋体" w:eastAsia="宋体" w:cs="宋体"/>
          <w:color w:val="000000"/>
          <w:sz w:val="24"/>
          <w:szCs w:val="24"/>
          <w:highlight w:val="none"/>
          <w:lang w:val="en-US" w:eastAsia="zh-CN"/>
        </w:rPr>
      </w:r>
      <w:r/>
    </w:p>
    <w:p>
      <w:pPr>
        <w:pStyle w:val="813"/>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原在线检测设备适配GB16889-2008表2排放标准，2025年钓鱼山封场排污许可证变更，渗滤液出水排放标准同步更新为GB16889-2024表4标准，为满足新排放标准供应商需对现场原在线监测设备（COD、总磷在线监测）进行升级改造，使其能够正常运行且符合环保要求，供应商需现场勘查并自行测算相关费用（我单位前期经咨询相关费用约8万元，仅供参考），并折算至投标报价中，拆除下的旧设备供应商自行处置，升级后的新设备产权归采购人所有。</w:t>
      </w:r>
      <w:r>
        <w:rPr>
          <w:rFonts w:hint="eastAsia" w:ascii="宋体" w:hAnsi="宋体" w:eastAsia="宋体" w:cs="宋体"/>
          <w:color w:val="000000"/>
          <w:sz w:val="24"/>
          <w:szCs w:val="24"/>
          <w:highlight w:val="none"/>
          <w:lang w:val="en-US" w:eastAsia="zh-CN"/>
        </w:rPr>
      </w:r>
      <w:r/>
    </w:p>
    <w:p>
      <w:pPr>
        <w:pStyle w:val="813"/>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2.9现场改造调试</w:t>
      </w:r>
      <w:r>
        <w:rPr>
          <w:rFonts w:hint="eastAsia" w:ascii="宋体" w:hAnsi="宋体" w:eastAsia="宋体" w:cs="宋体"/>
          <w:b/>
          <w:bCs/>
          <w:color w:val="000000"/>
          <w:sz w:val="24"/>
          <w:szCs w:val="24"/>
          <w:highlight w:val="none"/>
          <w:lang w:val="en-US" w:eastAsia="zh-CN"/>
        </w:rPr>
      </w:r>
      <w:r/>
    </w:p>
    <w:p>
      <w:pPr>
        <w:pStyle w:val="813"/>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本项目渗滤液改造调试期设定为75个日历天。在改造调试期间，中标供应商需承担渗滤液应急处置工作。若供应商未能按期完成改造调试任务（全量化初期出水能力66吨/日），采购人有权解除合同（采购人将以书面通知形式告知中标供应商），同时采购人无需支付已产生的渗滤液处理费用，且因供应商未按期完成任务所引发的一切后果均由供应商承担，采购人保留向供应商追究相关责任的权利。（需提供承诺函，格式自拟，否则投标无效）</w:t>
      </w:r>
      <w:r>
        <w:rPr>
          <w:rFonts w:hint="eastAsia" w:ascii="宋体" w:hAnsi="宋体" w:eastAsia="宋体" w:cs="宋体"/>
          <w:color w:val="000000"/>
          <w:sz w:val="24"/>
          <w:szCs w:val="24"/>
          <w:highlight w:val="none"/>
          <w:lang w:val="en-US" w:eastAsia="zh-CN"/>
        </w:rPr>
      </w:r>
      <w:r/>
    </w:p>
    <w:p>
      <w:pPr>
        <w:pStyle w:val="813"/>
        <w:numPr>
          <w:ilvl w:val="0"/>
          <w:numId w:val="4"/>
        </w:numPr>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服务要求及其他</w:t>
      </w:r>
      <w:r>
        <w:rPr>
          <w:rFonts w:hint="eastAsia" w:ascii="宋体" w:hAnsi="宋体" w:eastAsia="宋体" w:cs="宋体"/>
          <w:b/>
          <w:bCs/>
          <w:color w:val="000000"/>
          <w:sz w:val="24"/>
          <w:szCs w:val="24"/>
          <w:highlight w:val="none"/>
          <w:lang w:val="en-US" w:eastAsia="zh-CN"/>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服务要求：总体要求为保证钓鱼山出水水质达到《生活垃圾填埋场污染控制标准》（GB16889-2024）表4标准限值，符合环保相关要求。</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.1项目运行要求</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（1）在整个运营期间内运行方须确保运行期内调节池日常水位不得超过警戒水位，即调节池水量三分之一。</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整个运营期内中标供应商应自行承担费用和风险，包括实施该项目所必须的修理、购买及保存本项目必需的替换设备或零件、保存适当库存量的零件与设备、清除和处理维修所产生的废料。费用由中标供应商负责，包含水、电、药品费、检修更换设备配件、安全警示标识和人工费等。</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必须始终按谨慎工程和运营惯例负责本项目的管理、运营、维护和修理，使本项目处于良好的运营状态并能够安全、稳定地处理污水使之达到出水标准。</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认真做好日常检测，中标供应商应自行检测与记录当日的进、出水指标，并定期上报给采购人。</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（3）中标供应商应使本项目场区环境保持良好、干净、整洁的状态。</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（4）中标供应商上岗操作人员必须能掌握设备使用性能及正确的操作方法。</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（5）采购人可自行或委托监理单位对中标供应商日常运营管理进行监督检查，中标供应商不得以任何借口阻挠正常的监督检查。</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Cs/>
          <w:color w:val="000000"/>
          <w:sz w:val="24"/>
          <w:szCs w:val="24"/>
          <w:highlight w:val="yellow"/>
          <w:lang w:val="en-US" w:eastAsia="zh-CN"/>
        </w:rPr>
        <w:t xml:space="preserve">（6）合同运行期结束后，中标供应商必须确保所有采购人自有渗滤液处理设备设施完好，且能正常运转。</w:t>
      </w:r>
      <w:r>
        <w:rPr>
          <w:rFonts w:hint="eastAsia" w:ascii="宋体" w:hAnsi="宋体" w:eastAsia="宋体" w:cs="宋体"/>
          <w:bCs/>
          <w:color w:val="000000"/>
          <w:sz w:val="24"/>
          <w:szCs w:val="24"/>
          <w:highlight w:val="yellow"/>
          <w:lang w:val="en-US" w:eastAsia="zh-CN"/>
        </w:rPr>
      </w:r>
      <w:r/>
    </w:p>
    <w:p>
      <w:pPr>
        <w:pStyle w:val="813"/>
        <w:ind w:firstLine="7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.2运行与维护方案</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（1）中标供应商应根据其技术工艺的特点和本项目其他实际情况，编制本项目的《运行与维护方案》。</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（2）中标供应商提交的《运行与维护方案》应包括但不限于以下基本内容：</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项目运营管理方案</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运行班组组织结构与人员组成（含内部管理规章制度）</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系统运行质量保证措施和方案</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系统维护保养措施和方案</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出水检测与报告制度建设方案</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系统故障及突发事件应对措施和方案</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（3）中标供应商必须建立各方面应急预案，包括出现水浸、停水、停电、安全生产事故等。</w:t>
      </w:r>
      <w:r>
        <w:rPr>
          <w:rFonts w:hint="eastAsia" w:ascii="宋体" w:hAnsi="宋体" w:eastAsia="宋体" w:cs="宋体"/>
          <w:bCs/>
          <w:color w:val="000000"/>
          <w:sz w:val="24"/>
          <w:szCs w:val="24"/>
          <w:highlight w:val="none"/>
        </w:rPr>
      </w:r>
      <w:r/>
    </w:p>
    <w:p>
      <w:pPr>
        <w:pStyle w:val="813"/>
        <w:ind w:firstLine="7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.3技术管理及培训要求</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（1）运行中的技术管理</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中标供应商必须建立健全的生产管理机构和规章制度，包括岗位人员责任制和安全操作规程。</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中标供应商必须建立各建、构筑物和设备的维护、保养工作和维护记录的存档。</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中标供应商必须做好渗滤液处理系统水质化验、分析及环境监督的化验、分析，保存完整的各项记录资料。</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中标供应商必须建立并保存完整的现场设备运行数据资料建档。总结运行经验，指导运营工作。</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（2）技术培训</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渗滤液处理中心是否能成功运行，除设计的合理性外，更重要的是管理的科学性与合理性。因此在渗滤液处理场在交付运营的同时，中标供应商应对运行人员的管理，技术进行培训。培训内容包括：渗滤液处理技术、工艺流程、机械操作、环境监测手段及污染防治措施。</w:t>
      </w:r>
      <w:r>
        <w:rPr>
          <w:rFonts w:hint="eastAsia" w:ascii="宋体" w:hAnsi="宋体" w:eastAsia="宋体" w:cs="宋体"/>
          <w:bCs/>
          <w:color w:val="000000"/>
          <w:sz w:val="24"/>
          <w:szCs w:val="24"/>
          <w:highlight w:val="none"/>
        </w:rPr>
      </w:r>
      <w:r/>
    </w:p>
    <w:p>
      <w:pPr>
        <w:pStyle w:val="813"/>
        <w:ind w:firstLine="7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.4环境保护要求</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渗滤液处理系统本身是治理环境污染的基础设施，但由于污染物相对集中，在处理过程中，也会对环境产生不良的影响，造成二次污染，应该进行防范和引起注意。</w:t>
      </w:r>
      <w:r>
        <w:rPr>
          <w:rFonts w:hint="eastAsia" w:ascii="宋体" w:hAnsi="宋体" w:eastAsia="宋体" w:cs="宋体"/>
          <w:bCs/>
          <w:color w:val="000000"/>
          <w:sz w:val="24"/>
          <w:szCs w:val="24"/>
          <w:highlight w:val="none"/>
        </w:rPr>
      </w:r>
      <w:r/>
    </w:p>
    <w:p>
      <w:pPr>
        <w:pStyle w:val="813"/>
        <w:ind w:firstLine="7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.5服务方案</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中标供应商依据招标内容及服务要求提供切实可行的服务方案（含管理规定、守则、工作标准、负责人职责、意外事故处理预案等管理制度、为保证正常运行供应商应配备足够的人力和物力等。）</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.6设备运行维护要求</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（1）在服务期间，中标人应自行承担费用和风险，始终按谨慎工程和污水处理惯例负责本项目的管理、运营、维护和修理，使本项目处于良好的运营状态并能够安全、稳定地处理渗滤液使之达到以上出水标准。</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（2）环境监测部门将对出水进行实时监测。同时，每季度采购人将委托具有水质检测资格的第三方进行排放水的水质检测。检测的具体时间由采购人安排，并提前通知中标人。</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（3）采购人可自行或委托监理单位对中标人日常运营管理进行监督检查，中标人不得以任何借口阻挠正常的监督检查，相关费用由采购人承担。</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（4）中标人应根据其技术工艺的特点和本项目其他实际情况，编制并执行本项目的《运行与维护方案》，其内容应包括以下基本内容：</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①运行班组组织结构与人员组成；</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②运行质量保证措施；</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③内部管理规章制度；</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④材料更换与设备检修；</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⑤出水监测与报告制度。</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（5）中标人应制定并实施各类操作规程及设备保养规程，包括但不限于：设备运行操作规程、各工种生产及安全操作规程及维护保养规程、应急预案等。</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（6）中标人应编制并执行各项管理制度，包括但不限于：站内人员管理制度、消防管理制度、巡查制度和技术档案管理制度。</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（7）中标人应编制并执行详细的设备运行计划和设备维护、维修计划。</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（8）中标人应执行定期报告制度，包括但不限于年报、季报、月报和周报制度；报告内容包括运行情况、设备运行现状情况、维修和保养情况、药品使用情况、电能使用情况。</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渗滤液处理运营所需的药品及易耗品的使用和储备，中标人应该自行考虑，并建立相应管理制度，所需费用由中标人自行承担。渗滤液处理过程中使用的主要消耗药品及时添加，不可为降低运营成本而延迟或拒绝添加所需药品，如因以上原因导致渗滤液处理效率与渗滤液处理质量降低，采购人可委托第三方实施采购药品或易耗品进行添加，费用由中标人承担，同时，采购人按合同约定作出相关处理</w:t>
      </w:r>
      <w:r>
        <w:rPr>
          <w:rFonts w:hint="eastAsia" w:ascii="宋体" w:hAnsi="宋体" w:eastAsia="宋体" w:cs="宋体"/>
          <w:bCs/>
          <w:color w:val="000000"/>
          <w:sz w:val="24"/>
          <w:szCs w:val="24"/>
          <w:highlight w:val="none"/>
        </w:rPr>
      </w:r>
      <w:r/>
    </w:p>
    <w:p>
      <w:pPr>
        <w:pStyle w:val="813"/>
        <w:ind w:firstLine="7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2.7应急演练的要求</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中标人应建立完善安全生产制度和意外事故的应急机制，制定应急预案报采购人备案，并按要求定期进行应急预案演练；中标人应保障生产和服务的稳定和安全，防止事故发生。如出现重大意外事故，中标人应及时通报采购人，并尽最大人力、物力进行抢救，尽快恢复生产与服务；在事故影响期间，中标人应采取各种应急措施进行补救，尽量减少事故对公众的影响。</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（2）在服务期间，中标人必须安排足够的工作人员，并建立相应的排班制度。中标人要建立24小时值班制度，保持通信渠道畅通，设立专门应急队伍，负责运营期间突发事件的处理，确保及时到位。</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）应急培训演练应满足《生产安全事故应急预案管理办法》（应急管理部令第2号）和《生活垃圾渗</w:t>
      </w:r>
      <w:r>
        <w:rPr>
          <w:rFonts w:hint="eastAsia" w:ascii="宋体" w:hAnsi="宋体" w:eastAsia="宋体" w:cs="宋体"/>
          <w:bCs/>
          <w:color w:val="000000"/>
          <w:sz w:val="24"/>
          <w:szCs w:val="24"/>
          <w:highlight w:val="none"/>
          <w:lang w:val="en-US" w:eastAsia="zh-CN"/>
        </w:rPr>
        <w:t xml:space="preserve">沥</w:t>
      </w:r>
      <w:r>
        <w:rPr>
          <w:rFonts w:hint="eastAsia" w:ascii="宋体" w:hAnsi="宋体" w:eastAsia="宋体" w:cs="宋体"/>
          <w:bCs/>
          <w:color w:val="000000"/>
          <w:sz w:val="24"/>
          <w:szCs w:val="24"/>
          <w:highlight w:val="none"/>
          <w:lang w:eastAsia="zh-CN"/>
        </w:rPr>
        <w:t xml:space="preserve">液处理技术标准》CJJ/T 150-2023的要求。</w:t>
      </w:r>
      <w:r>
        <w:rPr>
          <w:rFonts w:hint="eastAsia" w:ascii="宋体" w:hAnsi="宋体" w:eastAsia="宋体" w:cs="宋体"/>
          <w:bCs/>
          <w:color w:val="000000"/>
          <w:sz w:val="24"/>
          <w:szCs w:val="24"/>
          <w:highlight w:val="none"/>
          <w:lang w:eastAsia="zh-CN"/>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lang w:eastAsia="zh-CN"/>
        </w:rPr>
        <w:t xml:space="preserve">资料台账</w:t>
      </w:r>
      <w:r>
        <w:rPr>
          <w:rFonts w:hint="eastAsia" w:ascii="宋体" w:hAnsi="宋体" w:eastAsia="宋体" w:cs="宋体"/>
          <w:bCs/>
          <w:color w:val="000000"/>
          <w:sz w:val="24"/>
          <w:szCs w:val="24"/>
          <w:highlight w:val="none"/>
        </w:rPr>
        <w:t xml:space="preserve">的要求</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（1）为确保渗滤液处理系统的安全生产，中标人除了健全必要的组织机构进行行政、生产管理外，还必须从以下几方面加强技术上的管理，包括：</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①及时分析、整理、汇总各项生产运行记录，并设立运行技术档案；</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②对项目投入相关设备的维护、保养记录工作，并存档保管；</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③建立管理信息系统，定期总结运行经验，确保安全、优质地生产运行。</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（2）中标人应负责系统设备的日常运行记录，并向采购人提交记录报告。</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（3）中标人应建立药剂的购买、使用、存放的台账记录。</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（4）中标人应做好安全检查记录和应急预演记录。</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（5）中标人应建立健全水质检测和检验制度，按照国家或行业规定的检测项目、检测频次和有关标准、方法定期检测渗滤液处理厂出水和出水等项目，做好各项检测分析资料和水质报表的汇总、归档。</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（6）服务期内，中标人每月5日前应向采购人提供上月生产运营报告、财务报告和环境监测报告等资料。</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.9安全生产要求</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（1）生产安全</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①生产过程安全卫生管理应符合GB/T 12801的规定，坚持预防为主，确保运行安全，避免发生工伤、火灾、爆炸等安全生产事故。</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②应具有完备的运行安全管理规章制度和运行安全操作规程，严格实施，建立操作规程培训与考核制度。</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③应为职工提供劳动安全卫生条件和劳动防护用品，操作人员应按规定使用安全防护及劳保用品，并为渗滤液处理点所有工作人员的社会保障、医疗保险、责任保险。</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④启动电气设备、维修机械设备时应遵守CJJ 93-2011 中3.3.6和3.3.7的相关规定；</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⑤定期对全场进行安全检查，并提供上级主管部门或安全专业监察部门的安全检查记录。</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⑥高空作业时要戴好安全带，以免发生意外；</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⑦进入现场人员严禁抽烟；</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（2）消防安全</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①场区内消防措施应符合相关规定，场区内应设置明显防火标志，严禁携带火种车辆进入作业区。</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②应对易聚积沼气的区域进行监测，当建构筑物内甲烷浓度≥1.25%时要进行强制通风，异常情况及时报告处理，并在相应的地点严禁明火出现。</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③应做好防火、防爆、防雷电等安全措施，遵守CJJ 17-2004 的相关规定。</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④劳动安全与职业卫生要求</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⑤中标人应该按照劳动安全与职业卫生工作应坚持预防为主的方针和防治结合的原则，采取有效措施，消除或者减少有害生产人员安全和健康的因素，创造良好的劳动条件。</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中标人应建立健全劳动安全与职业卫生管理机制，确定专（兼）职管理人员，管理该项目的劳动安全和卫生工作。应对新招收的人员进行健康检查，凡患有职业禁忌症的，不得从事与该禁忌症相关的有害作业；定期组织全体人员进行体检和复查工作；定期组织安全隐患的排查工作。</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⑦中标人应按照国家现行相关标准的规定开展渗滤液处理站的劳动安全和职业卫生的防治工作。</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⑧中标人应定期检查渗滤液处理点的劳动安全与职业卫生的防治工作。</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⑨生产过程中有害因素控制应符合国家现行相关标准的规定。出现超过国家安全或卫生标准的，应制定治理计划，限期达标。治理计划及达标状况应按规定履行呈报程序并存档。</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⑩中标人应将渗滤液处理站有害因素监控数据、生产事故记录情况及时报告采购人和当地安全监察部门；应将人员健康检查结果和职业性伤害的发生情况及时报告当地卫生防疫机构。遇有职业性严重伤害、中毒死亡或三人以上急性职业中毒情况的，以及重大安全事故造成严重伤亡情况的，应立即上报，并采取有效应对措施。</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⑪作业人员不得独自到存在安全隐患场所进行作业，应佩戴安全防护用品、采取有效措施预防或对隐患进行安全处理之后方可进入。</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⑫中标人应做好卫生清洁和免疫预防工作。工作结束后，各类人员应及时更换和清理工作服，将自己的日常服装、工作服装和个人的防护用品、设备分开存放。</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⑬中标人应统一管理和配备工作服装与个人劳动防护用品、设备。各岗位作业人员应根据需要配备不同的劳动保护用品、设备，并按照要求正确使用和保管好劳动保护用品、设备。</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.10</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要求</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（1）中标人必须全面配合采购人协调或处理由于渗滤液所带来的与周边单位（或居民）的各种问题。</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除非有外界不可抗力因素影响，渗滤液处理服务为24小时无间断服务，未经批准，中标人不得擅自停止，否则采购人将责令中标人限期改正，或者依法采取有效措施督促中标人履行义务。中标人擅自停止服务24小时以上，或严重影响到社会公共利益和安全的，采购人有权接管渗滤液处理厂点上的一切设备，并按违约条款追究中标人责任，由此产生的一切后果由中标人负责。</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中标人应按适用法律法规和合理的商业标准以及谨慎污水处理服务的惯例，认真而有效地处理其业务与事务，保证其服务符合采购人提出的项目要求，向采购人提交反映其经营情况的财务报表，并保证其真实性。</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所有职工必须依照法律规定购买社会保障、医疗保险、责任保险。中标人应责成其承保人或代理人向采购人提供保险证明书。如果发生保险项下的事故，中标人应在24小时内通知采购人，并随后向采购人提供从任何承保人处收到的相关报告副本。中标人须对从事渗滤液处理工作有关的职员进行技术培训，经培训合格后方可上岗，员工培训重点如下：</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①提高项目执行及管理人员的业务水平，熟悉设计图纸、了解工艺流程及有关设备的性能，以保证项目的顺利执行；</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②项目管理的财务人员应进行专业培训，以提高工程项目的执行能力；</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③生产管理的操作人员应进行上岗前的专业技术培训，以提高管理和操作水平，确保项目建成后能正常运行。</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（5）中标人应按照中华人民共和国及其政府部门颁布的法律和法规缴纳所有相关税费。</w:t>
      </w:r>
      <w:r>
        <w:rPr>
          <w:rFonts w:hint="eastAsia" w:ascii="宋体" w:hAnsi="宋体" w:eastAsia="宋体" w:cs="宋体"/>
          <w:bCs/>
          <w:color w:val="000000"/>
          <w:sz w:val="24"/>
          <w:szCs w:val="24"/>
          <w:highlight w:val="none"/>
        </w:rPr>
      </w:r>
      <w:r/>
    </w:p>
    <w:p>
      <w:pPr>
        <w:pStyle w:val="81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2.2其他要求</w:t>
      </w:r>
      <w:r>
        <w:rPr>
          <w:rFonts w:hint="eastAsia" w:ascii="宋体" w:hAnsi="宋体" w:eastAsia="宋体" w:cs="宋体"/>
          <w:color w:val="000000"/>
          <w:sz w:val="24"/>
          <w:szCs w:val="24"/>
          <w:highlight w:val="none"/>
          <w:lang w:val="en-US" w:eastAsia="zh-CN"/>
        </w:rPr>
      </w:r>
      <w:r/>
    </w:p>
    <w:p>
      <w:pPr>
        <w:pStyle w:val="81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中标人进行与渗滤液处理相关其他运营工作，包括设备的渗滤液预处理设施、渗滤液设备操作系统及相关软件、污水实验室等与渗滤液处理运行相关项目的运行。渗滤液设备安装处、组合池、调节池膜面、调节池周边环境等公共设施管理工作、环境卫生的保持和保洁工作由供应商负责，需定期进行清扫保洁，及时进行除草、消杀等工作。在中标人运营期间应配专职资料员按采购人要求负责运营台账、培训台账、安全台账、化验台账等相关资料。</w:t>
      </w:r>
      <w:r>
        <w:rPr>
          <w:rFonts w:hint="eastAsia" w:ascii="宋体" w:hAnsi="宋体" w:eastAsia="宋体" w:cs="宋体"/>
          <w:color w:val="000000"/>
          <w:sz w:val="24"/>
          <w:szCs w:val="24"/>
          <w:highlight w:val="none"/>
          <w:lang w:val="en-US" w:eastAsia="zh-CN"/>
        </w:rPr>
      </w:r>
      <w:r/>
    </w:p>
    <w:p>
      <w:pPr>
        <w:pStyle w:val="813"/>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★（2）因未达标排放而造成污染事故，造成相关部门罚款以及给采购人或第三方造成损失等，应由中标供应商负责（需提供承诺函，格式自拟，否则投标无效）。</w:t>
      </w:r>
      <w:r>
        <w:rPr>
          <w:rFonts w:hint="eastAsia" w:ascii="宋体" w:hAnsi="宋体" w:eastAsia="宋体" w:cs="宋体"/>
          <w:b/>
          <w:bCs/>
          <w:color w:val="000000"/>
          <w:sz w:val="24"/>
          <w:szCs w:val="24"/>
          <w:highlight w:val="none"/>
          <w:lang w:val="en-US" w:eastAsia="zh-CN"/>
        </w:rPr>
      </w:r>
      <w:r/>
    </w:p>
    <w:p>
      <w:pPr>
        <w:pStyle w:val="81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yellow"/>
          <w:lang w:val="en-US" w:eastAsia="zh-CN"/>
        </w:rPr>
        <w:t xml:space="preserve">服务期内，中标人应对采购人自有日处理50吨的渗滤液处理设备进行日常维护，确保设备所有功能能够正常开启。服务期满前一个月内，中标人应连续、稳定运行采购人自有日处理50吨的渗滤液处理设备7天，且出水达标。服务期满前，中标人须对采购人自有日处理50吨的渗滤液处理设备开展膜冲洗、加注保护液等维护工作，确保设备能够正常运行。服务期满后，中标人提供的设备和配套相关物资、管线可撤走（无法撤走管线不能损坏），撤除费用由中标人承担并由中标人恢复场地原貌；同时中标人应与下一服务单位做好交接工作，若未能顺利交接将影响进度款支付。</w:t>
      </w:r>
      <w:r>
        <w:rPr>
          <w:rFonts w:hint="eastAsia" w:ascii="宋体" w:hAnsi="宋体" w:eastAsia="宋体" w:cs="宋体"/>
          <w:color w:val="000000"/>
          <w:sz w:val="24"/>
          <w:szCs w:val="24"/>
          <w:highlight w:val="none"/>
        </w:rPr>
      </w:r>
      <w:r/>
    </w:p>
    <w:p>
      <w:pPr>
        <w:pStyle w:val="81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2.3 </w:t>
      </w:r>
      <w:r>
        <w:rPr>
          <w:rFonts w:hint="eastAsia" w:ascii="宋体" w:hAnsi="宋体" w:eastAsia="宋体" w:cs="宋体"/>
          <w:bCs/>
          <w:color w:val="000000"/>
          <w:sz w:val="24"/>
          <w:szCs w:val="24"/>
          <w:highlight w:val="none"/>
        </w:rPr>
        <w:t xml:space="preserve">服务标准：按采购人及相关法律规章制度要求，及时、按量完成渗滤液处理。</w:t>
      </w:r>
      <w:r>
        <w:rPr>
          <w:rFonts w:hint="eastAsia" w:ascii="宋体" w:hAnsi="宋体" w:eastAsia="宋体" w:cs="宋体"/>
          <w:bCs/>
          <w:color w:val="000000"/>
          <w:sz w:val="24"/>
          <w:szCs w:val="24"/>
          <w:highlight w:val="none"/>
        </w:rPr>
      </w:r>
      <w:r/>
    </w:p>
    <w:p>
      <w:pPr>
        <w:pStyle w:val="813"/>
        <w:numPr>
          <w:ilvl w:val="0"/>
          <w:numId w:val="0"/>
        </w:numPr>
        <w:ind w:firstLine="482"/>
        <w:spacing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★2.4人员配备要求：设备运营维护人员不低于6名。</w:t>
      </w:r>
      <w:r>
        <w:rPr>
          <w:rFonts w:hint="eastAsia" w:ascii="宋体" w:hAnsi="宋体" w:eastAsia="宋体" w:cs="宋体"/>
          <w:b/>
          <w:bCs w:val="0"/>
          <w:color w:val="000000"/>
          <w:sz w:val="24"/>
          <w:szCs w:val="24"/>
          <w:highlight w:val="none"/>
          <w:lang w:val="en-US" w:eastAsia="zh-CN" w:bidi="ar-SA"/>
        </w:rPr>
      </w:r>
      <w:r/>
    </w:p>
    <w:p>
      <w:pPr>
        <w:pStyle w:val="813"/>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、商务条款</w:t>
      </w:r>
      <w:r>
        <w:rPr>
          <w:rFonts w:hint="eastAsia" w:ascii="宋体" w:hAnsi="宋体" w:eastAsia="宋体" w:cs="宋体"/>
          <w:b/>
          <w:bCs/>
          <w:color w:val="000000"/>
          <w:sz w:val="24"/>
          <w:szCs w:val="24"/>
          <w:highlight w:val="none"/>
        </w:rPr>
      </w:r>
      <w:r/>
    </w:p>
    <w:p>
      <w:pPr>
        <w:pStyle w:val="813"/>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1.本项目包含的各项内容均</w:t>
      </w:r>
      <w:r>
        <w:rPr>
          <w:rFonts w:hint="eastAsia" w:ascii="宋体" w:hAnsi="宋体" w:eastAsia="宋体" w:cs="宋体"/>
          <w:bCs/>
          <w:color w:val="000000"/>
          <w:sz w:val="24"/>
          <w:szCs w:val="24"/>
          <w:highlight w:val="none"/>
          <w:lang w:val="en-US" w:eastAsia="zh-CN"/>
        </w:rPr>
        <w:t xml:space="preserve">需</w:t>
      </w:r>
      <w:r>
        <w:rPr>
          <w:rFonts w:hint="eastAsia" w:ascii="宋体" w:hAnsi="宋体" w:eastAsia="宋体" w:cs="宋体"/>
          <w:bCs/>
          <w:color w:val="000000"/>
          <w:sz w:val="24"/>
          <w:szCs w:val="24"/>
          <w:highlight w:val="none"/>
        </w:rPr>
        <w:t xml:space="preserve">上门服务，成交后不允许分包或转包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13"/>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
          <w:bCs/>
          <w:color w:val="000000"/>
          <w:sz w:val="24"/>
          <w:szCs w:val="24"/>
          <w:highlight w:val="none"/>
        </w:rPr>
        <w:t xml:space="preserve">服务</w:t>
      </w:r>
      <w:r>
        <w:rPr>
          <w:rFonts w:hint="eastAsia" w:ascii="宋体" w:hAnsi="宋体" w:eastAsia="宋体" w:cs="宋体"/>
          <w:b/>
          <w:bCs/>
          <w:color w:val="000000"/>
          <w:sz w:val="24"/>
          <w:szCs w:val="24"/>
          <w:highlight w:val="none"/>
          <w:lang w:val="en-US" w:eastAsia="zh-CN"/>
        </w:rPr>
        <w:t xml:space="preserve">期限</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运营服务期限为自合同签订之日起至达标出水总量上限为止，总服务期限不超过2年。（非中标人原因不能正常运营的，运营期相应顺延）。</w:t>
      </w:r>
      <w:r>
        <w:rPr>
          <w:rFonts w:hint="eastAsia" w:ascii="宋体" w:hAnsi="宋体" w:eastAsia="宋体" w:cs="宋体"/>
          <w:bCs/>
          <w:color w:val="000000"/>
          <w:sz w:val="24"/>
          <w:szCs w:val="24"/>
          <w:highlight w:val="none"/>
        </w:rPr>
      </w:r>
      <w:r/>
    </w:p>
    <w:p>
      <w:pPr>
        <w:pStyle w:val="813"/>
        <w:numPr>
          <w:ilvl w:val="0"/>
          <w:numId w:val="0"/>
        </w:numPr>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3.服务范围：钓鱼山封场</w:t>
      </w:r>
      <w:r>
        <w:rPr>
          <w:rFonts w:hint="eastAsia" w:ascii="宋体" w:hAnsi="宋体" w:eastAsia="宋体" w:cs="宋体"/>
          <w:bCs/>
          <w:color w:val="000000"/>
          <w:sz w:val="24"/>
          <w:szCs w:val="24"/>
          <w:highlight w:val="none"/>
          <w:lang w:val="en-US" w:eastAsia="zh-CN"/>
        </w:rPr>
      </w:r>
      <w:r/>
    </w:p>
    <w:p>
      <w:pPr>
        <w:pStyle w:val="813"/>
        <w:numPr>
          <w:ilvl w:val="0"/>
          <w:numId w:val="0"/>
        </w:num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服务标准：按采购人及相关法律规章制度要求，及时、按量完成渗滤液处理。</w:t>
      </w:r>
      <w:r>
        <w:rPr>
          <w:rFonts w:hint="eastAsia" w:ascii="宋体" w:hAnsi="宋体" w:eastAsia="宋体" w:cs="宋体"/>
          <w:color w:val="000000"/>
          <w:sz w:val="24"/>
          <w:szCs w:val="24"/>
          <w:highlight w:val="none"/>
          <w:lang w:eastAsia="zh-CN"/>
        </w:rPr>
      </w:r>
      <w:r/>
    </w:p>
    <w:p>
      <w:pPr>
        <w:pStyle w:val="813"/>
        <w:ind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lang w:val="en-US"/>
        </w:rPr>
        <w:t xml:space="preserve">4.</w:t>
      </w: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color w:val="000000"/>
          <w:sz w:val="24"/>
          <w:szCs w:val="24"/>
          <w:highlight w:val="none"/>
        </w:rPr>
        <w:t xml:space="preserve">1、项目运营服务费每3个月支付一次，按运营期内实际达标处理出水量向供应商支付实际发生费用，当次结算款=供应商投标单价*当次实际达标出水量，合同期内项目总支付费用不超过1333万元。</w:t>
      </w:r>
      <w:r>
        <w:rPr>
          <w:rFonts w:hint="eastAsia" w:ascii="宋体" w:hAnsi="宋体" w:eastAsia="宋体" w:cs="宋体"/>
          <w:b/>
          <w:color w:val="000000"/>
          <w:sz w:val="24"/>
          <w:szCs w:val="24"/>
          <w:highlight w:val="none"/>
        </w:rPr>
      </w:r>
      <w:r/>
    </w:p>
    <w:p>
      <w:pPr>
        <w:pStyle w:val="813"/>
        <w:ind w:firstLine="482"/>
        <w:keepLines w:val="0"/>
        <w:keepNext w:val="0"/>
        <w:pageBreakBefore w:val="0"/>
        <w:spacing w:line="360" w:lineRule="auto"/>
        <w:rPr>
          <w:rFonts w:hint="eastAsia" w:ascii="宋体" w:hAnsi="宋体" w:eastAsia="宋体" w:cs="宋体"/>
          <w:bCs/>
          <w:color w:val="000000"/>
          <w:sz w:val="24"/>
          <w:szCs w:val="24"/>
          <w:highlight w:val="none"/>
          <w:lang w:val="en-US"/>
        </w:rPr>
      </w:pPr>
      <w:r>
        <w:rPr>
          <w:rFonts w:hint="eastAsia" w:ascii="宋体" w:hAnsi="宋体" w:eastAsia="宋体" w:cs="宋体"/>
          <w:b/>
          <w:color w:val="000000"/>
          <w:sz w:val="24"/>
          <w:szCs w:val="24"/>
          <w:highlight w:val="none"/>
        </w:rPr>
        <w:t xml:space="preserve">2、采购人支付运营费前，中标人须提供等额的正式发票给采购人，以便采购人及时办理转账支付手续。本项目所涉及费用均以人民币结算。</w:t>
      </w:r>
      <w:r>
        <w:rPr>
          <w:rFonts w:hint="eastAsia" w:ascii="宋体" w:hAnsi="宋体" w:eastAsia="宋体" w:cs="宋体"/>
          <w:bCs/>
          <w:color w:val="000000"/>
          <w:sz w:val="24"/>
          <w:szCs w:val="24"/>
          <w:highlight w:val="none"/>
          <w:lang w:val="en-US"/>
        </w:rPr>
      </w:r>
      <w:r/>
    </w:p>
    <w:p>
      <w:pPr>
        <w:pStyle w:val="813"/>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5.履约保证金：本项目不收取履约保证金。</w:t>
      </w:r>
      <w:r>
        <w:rPr>
          <w:rFonts w:hint="eastAsia" w:ascii="宋体" w:hAnsi="宋体" w:eastAsia="宋体" w:cs="宋体"/>
          <w:b w:val="0"/>
          <w:bCs w:val="0"/>
          <w:color w:val="000000"/>
          <w:sz w:val="24"/>
          <w:szCs w:val="24"/>
          <w:highlight w:val="none"/>
          <w:lang w:val="en-US" w:eastAsia="zh-CN" w:bidi="ar-SA"/>
        </w:rPr>
      </w:r>
      <w:r/>
    </w:p>
    <w:p>
      <w:pPr>
        <w:pStyle w:val="81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货币：</w:t>
      </w:r>
      <w:r>
        <w:rPr>
          <w:rFonts w:hint="eastAsia" w:ascii="宋体" w:hAnsi="宋体" w:eastAsia="宋体" w:cs="宋体"/>
          <w:b w:val="0"/>
          <w:bCs w:val="0"/>
          <w:color w:val="000000"/>
          <w:sz w:val="24"/>
          <w:szCs w:val="24"/>
          <w:highlight w:val="none"/>
        </w:rPr>
        <w:t xml:space="preserve">本次采购文件所涉及货币币种均为人民币。</w:t>
      </w:r>
      <w:r>
        <w:rPr>
          <w:rFonts w:hint="eastAsia" w:ascii="宋体" w:hAnsi="宋体" w:eastAsia="宋体" w:cs="宋体"/>
          <w:b w:val="0"/>
          <w:bCs w:val="0"/>
          <w:color w:val="000000"/>
          <w:sz w:val="24"/>
          <w:szCs w:val="24"/>
          <w:highlight w:val="none"/>
        </w:rPr>
      </w:r>
      <w:r/>
    </w:p>
    <w:p>
      <w:pPr>
        <w:pStyle w:val="813"/>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、报价要求</w:t>
      </w:r>
      <w:r>
        <w:rPr>
          <w:rFonts w:hint="eastAsia" w:ascii="宋体" w:hAnsi="宋体" w:eastAsia="宋体" w:cs="宋体"/>
          <w:b/>
          <w:bCs/>
          <w:color w:val="000000"/>
          <w:sz w:val="24"/>
          <w:szCs w:val="24"/>
          <w:highlight w:val="none"/>
        </w:rPr>
      </w:r>
      <w:r/>
    </w:p>
    <w:p>
      <w:pPr>
        <w:pStyle w:val="81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本项目预算为1333万元，达标出水控制价为166.25元/吨，超出控制、单价作废标处理。供应商可以进行现场勘查，结合现场实际情况进行报综合单价及对应处理总水量；综合单价包含但不限于以下内容：</w:t>
      </w:r>
      <w:r>
        <w:rPr>
          <w:rFonts w:hint="eastAsia" w:ascii="宋体" w:hAnsi="宋体" w:eastAsia="宋体" w:cs="宋体"/>
          <w:color w:val="000000"/>
          <w:sz w:val="24"/>
          <w:szCs w:val="24"/>
          <w:highlight w:val="none"/>
        </w:rPr>
      </w:r>
      <w:r/>
    </w:p>
    <w:p>
      <w:pPr>
        <w:pStyle w:val="81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施设备维护运行费、购置费、运输费、应急设备转场费、人员工资、安装调试费、物料耗材费、运营费、电力增容费、钓鱼山在线监测升级费、水电费（以钓鱼山封场户头电表计量）、钓鱼山监控维修与完善、泥渣清理及装车费、相关税费等涉及各项服务内容的所有费用。</w:t>
      </w:r>
      <w:r>
        <w:rPr>
          <w:rFonts w:hint="eastAsia" w:ascii="宋体" w:hAnsi="宋体" w:eastAsia="宋体" w:cs="宋体"/>
          <w:color w:val="000000"/>
          <w:sz w:val="24"/>
          <w:szCs w:val="24"/>
          <w:highlight w:val="none"/>
        </w:rPr>
      </w:r>
      <w:r/>
    </w:p>
    <w:p>
      <w:pPr>
        <w:pStyle w:val="81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2、所有试剂（包括药剂、硫酸等）及水质化验设备；</w:t>
      </w:r>
      <w:r>
        <w:rPr>
          <w:rFonts w:hint="eastAsia" w:ascii="宋体" w:hAnsi="宋体" w:eastAsia="宋体" w:cs="宋体"/>
          <w:color w:val="000000"/>
          <w:sz w:val="24"/>
          <w:szCs w:val="24"/>
          <w:highlight w:val="none"/>
        </w:rPr>
      </w:r>
      <w:r/>
    </w:p>
    <w:p>
      <w:pPr>
        <w:pStyle w:val="81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3、流量计的安装（流量计为管道流量计，产权归采购人所有），并提供所安装流量计的计量准确性检测报告，安装范围包括且不限于：①渗滤液进水②渗滤液处理达标排放口，其他流量计供应商自行考虑增设；</w:t>
      </w:r>
      <w:r>
        <w:rPr>
          <w:rFonts w:hint="eastAsia" w:ascii="宋体" w:hAnsi="宋体" w:eastAsia="宋体" w:cs="宋体"/>
          <w:color w:val="000000"/>
          <w:sz w:val="24"/>
          <w:szCs w:val="24"/>
          <w:highlight w:val="none"/>
        </w:rPr>
      </w:r>
      <w:r/>
    </w:p>
    <w:p>
      <w:pPr>
        <w:pStyle w:val="81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4、渗滤液处理过程中产生的危险废物处理费用由供应商承担，采购人配合协调。</w:t>
      </w:r>
      <w:r>
        <w:rPr>
          <w:rFonts w:hint="eastAsia" w:ascii="宋体" w:hAnsi="宋体" w:eastAsia="宋体" w:cs="宋体"/>
          <w:color w:val="000000"/>
          <w:sz w:val="24"/>
          <w:szCs w:val="24"/>
          <w:highlight w:val="none"/>
        </w:rPr>
      </w:r>
      <w:r/>
    </w:p>
    <w:p>
      <w:pPr>
        <w:pStyle w:val="81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5、项目院内环境卫生（必须及时除草）。</w:t>
      </w:r>
      <w:r>
        <w:rPr>
          <w:rFonts w:hint="eastAsia" w:ascii="宋体" w:hAnsi="宋体" w:eastAsia="宋体" w:cs="宋体"/>
          <w:color w:val="000000"/>
          <w:sz w:val="24"/>
          <w:szCs w:val="24"/>
          <w:highlight w:val="none"/>
        </w:rPr>
      </w:r>
      <w:r/>
    </w:p>
    <w:p>
      <w:pPr>
        <w:pStyle w:val="813"/>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四、其他要求</w:t>
      </w:r>
      <w:r>
        <w:rPr>
          <w:rFonts w:hint="eastAsia" w:ascii="宋体" w:hAnsi="宋体" w:eastAsia="宋体" w:cs="宋体"/>
          <w:b/>
          <w:bCs/>
          <w:color w:val="000000"/>
          <w:sz w:val="24"/>
          <w:szCs w:val="24"/>
          <w:highlight w:val="none"/>
          <w:lang w:eastAsia="zh-CN"/>
        </w:rPr>
      </w:r>
      <w:r/>
    </w:p>
    <w:p>
      <w:pPr>
        <w:pStyle w:val="813"/>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工作中涉及的敏感资料、电子数据等相关信息，供应商应严格执行保密的相关规定，不得以任何方式向任何第三人披露、泄露或许可第三人使用，否则追究其相应法律责任。</w:t>
      </w:r>
      <w:r>
        <w:rPr>
          <w:rFonts w:hint="eastAsia" w:ascii="宋体" w:hAnsi="宋体" w:eastAsia="宋体" w:cs="宋体"/>
          <w:color w:val="000000"/>
          <w:sz w:val="24"/>
          <w:szCs w:val="24"/>
          <w:highlight w:val="none"/>
          <w:lang w:val="en-US" w:eastAsia="zh-CN"/>
        </w:rPr>
      </w:r>
      <w:r/>
    </w:p>
    <w:p>
      <w:pPr>
        <w:pStyle w:val="813"/>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渗滤液处理站站内安全、卫生、防火要符合采购人的管理要求，并接受采购人的监督管理，在保证系统运行安全、质量等要求的前提下，避免或 减少故障的发生，确保设备和人员的安全，安全隐患整改及时。若发生事故，由此产生的 一切连带责任及经济损失由中标人负责。</w:t>
      </w:r>
      <w:r>
        <w:rPr>
          <w:rFonts w:hint="eastAsia" w:ascii="宋体" w:hAnsi="宋体" w:eastAsia="宋体" w:cs="宋体"/>
          <w:color w:val="000000"/>
          <w:sz w:val="24"/>
          <w:szCs w:val="24"/>
          <w:highlight w:val="none"/>
          <w:lang w:val="en-US" w:eastAsia="zh-CN"/>
        </w:rPr>
      </w:r>
      <w:r/>
    </w:p>
    <w:p>
      <w:pPr>
        <w:pStyle w:val="813"/>
        <w:rPr>
          <w:rFonts w:hint="eastAsia" w:ascii="宋体" w:hAnsi="宋体" w:eastAsia="宋体" w:cs="宋体"/>
          <w:color w:val="000000"/>
          <w:sz w:val="36"/>
          <w:szCs w:val="20"/>
          <w:highlight w:val="none"/>
        </w:rPr>
      </w:pPr>
      <w:r>
        <w:rPr>
          <w:rFonts w:hint="eastAsia" w:ascii="宋体" w:hAnsi="宋体" w:eastAsia="宋体" w:cs="宋体"/>
          <w:color w:val="000000"/>
          <w:sz w:val="36"/>
          <w:szCs w:val="20"/>
          <w:highlight w:val="none"/>
        </w:rPr>
        <w:br w:type="page" w:clear="all"/>
      </w:r>
      <w:r>
        <w:rPr>
          <w:rFonts w:hint="eastAsia" w:ascii="宋体" w:hAnsi="宋体" w:eastAsia="宋体" w:cs="宋体"/>
          <w:color w:val="000000"/>
          <w:sz w:val="36"/>
          <w:szCs w:val="20"/>
          <w:highlight w:val="none"/>
        </w:rPr>
      </w:r>
      <w:r/>
    </w:p>
    <w:p>
      <w:pPr>
        <w:pStyle w:val="813"/>
        <w:ind w:firstLine="48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36"/>
          <w:szCs w:val="20"/>
          <w:highlight w:val="none"/>
        </w:rPr>
        <w:t xml:space="preserve">第七章 评标办法</w:t>
      </w:r>
      <w:r>
        <w:rPr>
          <w:rFonts w:hint="eastAsia" w:ascii="宋体" w:hAnsi="宋体" w:eastAsia="宋体" w:cs="宋体"/>
          <w:b/>
          <w:bCs/>
          <w:color w:val="000000"/>
          <w:sz w:val="24"/>
          <w:szCs w:val="24"/>
          <w:highlight w:val="none"/>
        </w:rPr>
      </w:r>
      <w:r/>
    </w:p>
    <w:p>
      <w:pPr>
        <w:pStyle w:val="813"/>
        <w:ind w:firstLine="482"/>
        <w:spacing w:line="360" w:lineRule="auto"/>
        <w:widowControl/>
        <w:rPr>
          <w:rFonts w:hint="eastAsia" w:ascii="宋体" w:hAnsi="宋体" w:eastAsia="宋体" w:cs="宋体"/>
          <w:b/>
          <w:color w:val="000000"/>
          <w:sz w:val="24"/>
          <w:szCs w:val="24"/>
          <w:highlight w:val="none"/>
        </w:rPr>
      </w:pPr>
      <w:r/>
      <w:bookmarkEnd w:id="23"/>
      <w:r/>
      <w:bookmarkEnd w:id="24"/>
      <w:r>
        <w:rPr>
          <w:rFonts w:hint="eastAsia" w:ascii="宋体" w:hAnsi="宋体" w:eastAsia="宋体" w:cs="宋体"/>
          <w:b/>
          <w:color w:val="000000"/>
          <w:sz w:val="24"/>
          <w:szCs w:val="24"/>
          <w:highlight w:val="none"/>
        </w:rPr>
        <w:t xml:space="preserve">一、评标方法：综合评分法</w:t>
      </w:r>
      <w:r>
        <w:rPr>
          <w:rFonts w:hint="eastAsia" w:ascii="宋体" w:hAnsi="宋体" w:eastAsia="宋体" w:cs="宋体"/>
          <w:b/>
          <w:color w:val="000000"/>
          <w:sz w:val="24"/>
          <w:szCs w:val="24"/>
          <w:highlight w:val="none"/>
        </w:rPr>
      </w:r>
      <w:r/>
    </w:p>
    <w:p>
      <w:pPr>
        <w:pStyle w:val="813"/>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综合评分法，是指投标文件满足招标文件全部实质性要求，且按照评审因素的量化指标评审得分最高的投标人为中标候选人的评标办法。</w:t>
      </w:r>
      <w:r>
        <w:rPr>
          <w:rFonts w:hint="eastAsia" w:ascii="宋体" w:hAnsi="宋体" w:eastAsia="宋体" w:cs="宋体"/>
          <w:color w:val="000000"/>
          <w:sz w:val="24"/>
          <w:szCs w:val="24"/>
          <w:highlight w:val="none"/>
        </w:rPr>
      </w:r>
      <w:r/>
    </w:p>
    <w:p>
      <w:pPr>
        <w:pStyle w:val="813"/>
        <w:ind w:firstLine="482"/>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二、评标委员会构成：</w:t>
      </w:r>
      <w:r>
        <w:rPr>
          <w:rFonts w:hint="eastAsia" w:ascii="宋体" w:hAnsi="宋体" w:eastAsia="宋体" w:cs="宋体"/>
          <w:b/>
          <w:color w:val="000000"/>
          <w:sz w:val="24"/>
          <w:szCs w:val="24"/>
          <w:highlight w:val="none"/>
        </w:rPr>
      </w:r>
      <w:r/>
    </w:p>
    <w:p>
      <w:pPr>
        <w:pStyle w:val="813"/>
        <w:ind w:firstLine="480"/>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 w:val="24"/>
          <w:szCs w:val="24"/>
          <w:highlight w:val="none"/>
        </w:rPr>
        <w:t xml:space="preserve">本采购项目评标委员会由采购人代表和评审专家组成。</w:t>
      </w:r>
      <w:r>
        <w:rPr>
          <w:rFonts w:hint="eastAsia" w:ascii="宋体" w:hAnsi="宋体" w:eastAsia="宋体" w:cs="宋体"/>
          <w:bCs/>
          <w:color w:val="000000"/>
          <w:szCs w:val="24"/>
          <w:highlight w:val="none"/>
        </w:rPr>
      </w:r>
      <w:r/>
    </w:p>
    <w:p>
      <w:pPr>
        <w:pStyle w:val="813"/>
        <w:ind w:firstLine="482"/>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三、评标原则：</w:t>
      </w:r>
      <w:r>
        <w:rPr>
          <w:rFonts w:hint="eastAsia" w:ascii="宋体" w:hAnsi="宋体" w:eastAsia="宋体" w:cs="宋体"/>
          <w:b/>
          <w:color w:val="000000"/>
          <w:sz w:val="24"/>
          <w:szCs w:val="24"/>
          <w:highlight w:val="none"/>
        </w:rPr>
      </w:r>
      <w:r/>
    </w:p>
    <w:p>
      <w:pPr>
        <w:pStyle w:val="813"/>
        <w:ind w:firstLine="48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bCs/>
          <w:color w:val="000000"/>
          <w:sz w:val="24"/>
          <w:szCs w:val="24"/>
          <w:highlight w:val="none"/>
        </w:rPr>
      </w:r>
      <w:r/>
    </w:p>
    <w:p>
      <w:pPr>
        <w:pStyle w:val="813"/>
        <w:ind w:firstLine="482"/>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四、评标标准：</w:t>
      </w:r>
      <w:r>
        <w:rPr>
          <w:rFonts w:hint="eastAsia" w:ascii="宋体" w:hAnsi="宋体" w:eastAsia="宋体" w:cs="宋体"/>
          <w:b/>
          <w:color w:val="000000"/>
          <w:sz w:val="24"/>
          <w:szCs w:val="24"/>
          <w:highlight w:val="none"/>
        </w:rPr>
      </w:r>
      <w:r/>
    </w:p>
    <w:p>
      <w:pPr>
        <w:pStyle w:val="813"/>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eastAsia="宋体" w:cs="宋体"/>
          <w:color w:val="000000"/>
          <w:sz w:val="24"/>
          <w:szCs w:val="24"/>
          <w:highlight w:val="none"/>
        </w:rPr>
      </w:r>
      <w:r/>
    </w:p>
    <w:p>
      <w:pPr>
        <w:pStyle w:val="813"/>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2、本项目评分总分为100分，按四舍五入取至小数点后两位。</w:t>
      </w:r>
      <w:r>
        <w:rPr>
          <w:rFonts w:hint="eastAsia" w:ascii="宋体" w:hAnsi="宋体" w:eastAsia="宋体" w:cs="宋体"/>
          <w:color w:val="000000"/>
          <w:sz w:val="24"/>
          <w:szCs w:val="24"/>
          <w:highlight w:val="none"/>
        </w:rPr>
      </w:r>
      <w:r/>
    </w:p>
    <w:p>
      <w:pPr>
        <w:pStyle w:val="813"/>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3、总得分=价格分+商务技术分。</w:t>
      </w:r>
      <w:r>
        <w:rPr>
          <w:rFonts w:hint="eastAsia" w:ascii="宋体" w:hAnsi="宋体" w:eastAsia="宋体" w:cs="宋体"/>
          <w:color w:val="000000"/>
          <w:sz w:val="24"/>
          <w:szCs w:val="24"/>
          <w:highlight w:val="none"/>
        </w:rPr>
      </w:r>
      <w:r/>
    </w:p>
    <w:p>
      <w:pPr>
        <w:pStyle w:val="813"/>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五、中标标准：</w:t>
      </w:r>
      <w:r>
        <w:rPr>
          <w:rFonts w:hint="eastAsia" w:ascii="宋体" w:hAnsi="宋体" w:eastAsia="宋体" w:cs="宋体"/>
          <w:b/>
          <w:bCs/>
          <w:color w:val="000000"/>
          <w:sz w:val="24"/>
          <w:szCs w:val="24"/>
          <w:highlight w:val="none"/>
        </w:rPr>
      </w:r>
      <w:r/>
    </w:p>
    <w:p>
      <w:pPr>
        <w:pStyle w:val="813"/>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rPr>
      </w:r>
      <w:r/>
    </w:p>
    <w:p>
      <w:pPr>
        <w:pStyle w:val="813"/>
        <w:ind w:left="734" w:hanging="343"/>
        <w:jc w:val="center"/>
        <w:spacing w:line="360" w:lineRule="auto"/>
        <w:widowControl/>
        <w:tabs>
          <w:tab w:val="left" w:pos="720" w:leader="none"/>
        </w:tabs>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综合评分法</w:t>
      </w:r>
      <w:r>
        <w:rPr>
          <w:rFonts w:hint="eastAsia" w:ascii="宋体" w:hAnsi="宋体" w:eastAsia="宋体" w:cs="宋体"/>
          <w:b/>
          <w:color w:val="000000"/>
          <w:sz w:val="28"/>
          <w:szCs w:val="28"/>
          <w:highlight w:val="none"/>
          <w:lang w:val="en-US" w:eastAsia="zh-CN" w:bidi="ar-SA"/>
        </w:rPr>
      </w:r>
      <w:r/>
    </w:p>
    <w:p>
      <w:pPr>
        <w:pStyle w:val="813"/>
        <w:ind w:left="42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1.价格分：</w:t>
      </w: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13"/>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rPr>
      </w:r>
      <w:r/>
    </w:p>
    <w:p>
      <w:pPr>
        <w:pStyle w:val="813"/>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13"/>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因落实政府采购政策进行价格调整的，以调整后的价格计算评标基准价和投标报价，小数点后保留两位。</w:t>
      </w:r>
      <w:r>
        <w:rPr>
          <w:rFonts w:hint="eastAsia" w:ascii="宋体" w:hAnsi="宋体" w:eastAsia="宋体" w:cs="宋体"/>
          <w:color w:val="000000"/>
          <w:sz w:val="24"/>
          <w:szCs w:val="24"/>
          <w:highlight w:val="none"/>
        </w:rPr>
      </w:r>
      <w:r/>
    </w:p>
    <w:p>
      <w:pPr>
        <w:pStyle w:val="813"/>
        <w:numPr>
          <w:ilvl w:val="0"/>
          <w:numId w:val="0"/>
        </w:numPr>
        <w:ind w:left="48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商务技术分：</w:t>
      </w:r>
      <w:r>
        <w:rPr>
          <w:rFonts w:hint="eastAsia" w:ascii="宋体" w:hAnsi="宋体" w:eastAsia="宋体" w:cs="宋体"/>
          <w:b/>
          <w:color w:val="000000"/>
          <w:sz w:val="24"/>
          <w:szCs w:val="24"/>
          <w:highlight w:val="none"/>
          <w:lang w:val="en-US" w:eastAsia="zh-CN"/>
        </w:rPr>
        <w:t xml:space="preserve">90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13"/>
        <w:numPr>
          <w:ilvl w:val="0"/>
          <w:numId w:val="0"/>
        </w:numPr>
        <w:ind w:left="480"/>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5"/>
        <w:gridCol w:w="7434"/>
      </w:tblGrid>
      <w:tr>
        <w:trPr>
          <w:trHeight w:val="527"/>
        </w:trPr>
        <w:tc>
          <w:tcPr>
            <w:tcW w:w="1945" w:type="dxa"/>
            <w:vAlign w:val="center"/>
            <w:textDirection w:val="lrTb"/>
            <w:noWrap w:val="false"/>
          </w:tcPr>
          <w:p>
            <w:pPr>
              <w:pStyle w:val="813"/>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评审因素</w:t>
            </w:r>
            <w:r>
              <w:rPr>
                <w:rFonts w:hint="eastAsia" w:ascii="宋体" w:hAnsi="宋体" w:eastAsia="宋体" w:cs="宋体"/>
                <w:b/>
                <w:color w:val="000000"/>
                <w:sz w:val="24"/>
                <w:szCs w:val="24"/>
                <w:highlight w:val="none"/>
              </w:rPr>
            </w:r>
            <w:r/>
          </w:p>
        </w:tc>
        <w:tc>
          <w:tcPr>
            <w:tcW w:w="7434" w:type="dxa"/>
            <w:vAlign w:val="center"/>
            <w:textDirection w:val="lrTb"/>
            <w:noWrap w:val="false"/>
          </w:tcPr>
          <w:p>
            <w:pPr>
              <w:pStyle w:val="813"/>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评审标准</w:t>
            </w:r>
            <w:r>
              <w:rPr>
                <w:rFonts w:hint="eastAsia" w:ascii="宋体" w:hAnsi="宋体" w:eastAsia="宋体" w:cs="宋体"/>
                <w:b/>
                <w:color w:val="000000"/>
                <w:sz w:val="24"/>
                <w:szCs w:val="24"/>
                <w:highlight w:val="none"/>
              </w:rPr>
            </w:r>
            <w:r/>
          </w:p>
        </w:tc>
      </w:tr>
      <w:tr>
        <w:trPr>
          <w:trHeight w:val="7405"/>
        </w:trPr>
        <w:tc>
          <w:tcPr>
            <w:tcW w:w="1945" w:type="dxa"/>
            <w:vAlign w:val="center"/>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安装实施与工程建设方案（6分）</w:t>
            </w:r>
            <w:r>
              <w:rPr>
                <w:rFonts w:hint="eastAsia" w:ascii="宋体" w:hAnsi="宋体" w:eastAsia="宋体" w:cs="宋体"/>
                <w:color w:val="000000"/>
                <w:sz w:val="24"/>
                <w:szCs w:val="24"/>
                <w:highlight w:val="none"/>
                <w:lang w:eastAsia="zh-CN"/>
              </w:rPr>
            </w:r>
            <w:r/>
          </w:p>
        </w:tc>
        <w:tc>
          <w:tcPr>
            <w:tcW w:w="7434" w:type="dxa"/>
            <w:vAlign w:val="center"/>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提供的</w:t>
            </w:r>
            <w:r>
              <w:rPr>
                <w:rFonts w:hint="eastAsia" w:ascii="宋体" w:hAnsi="宋体" w:eastAsia="宋体" w:cs="宋体"/>
                <w:color w:val="000000"/>
                <w:sz w:val="24"/>
                <w:szCs w:val="24"/>
                <w:highlight w:val="none"/>
                <w:lang w:val="en-US" w:eastAsia="zh-CN"/>
              </w:rPr>
              <w:t xml:space="preserve">安装实施与工程建设方案，考察其是否包含设施设备建设施工流程、安装进度计划，设备进场与验收、安装布局规划、设备调试等。</w:t>
            </w:r>
            <w:r>
              <w:rPr>
                <w:rFonts w:hint="eastAsia" w:ascii="宋体" w:hAnsi="宋体" w:eastAsia="宋体" w:cs="宋体"/>
                <w:color w:val="000000"/>
                <w:sz w:val="24"/>
                <w:szCs w:val="24"/>
                <w:highlight w:val="none"/>
                <w:lang w:val="en-US" w:eastAsia="zh-CN"/>
              </w:rPr>
            </w:r>
            <w:r/>
          </w:p>
          <w:p>
            <w:pPr>
              <w:pStyle w:val="813"/>
              <w:numPr>
                <w:ilvl w:val="0"/>
                <w:numId w:val="5"/>
              </w:numPr>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方案涵盖全部内容</w:t>
            </w:r>
            <w:r>
              <w:rPr>
                <w:rFonts w:hint="eastAsia" w:ascii="宋体" w:hAnsi="宋体" w:eastAsia="宋体" w:cs="宋体"/>
                <w:color w:val="000000"/>
                <w:sz w:val="24"/>
                <w:szCs w:val="24"/>
                <w:highlight w:val="none"/>
              </w:rPr>
              <w:t xml:space="preserve">，施工工艺流程规范合规、工序衔接科学合理、安装进度计划节点清晰工期可控、设备进场核验及到货验收流程闭环、现场安装布局规划科学贴合场地实际及运维检修需求、设备单机及联动调试方案专业详实、调试步骤及验收标准明确到位，全流程施工组织、安装实施、调试验收管控措施细化落地，可直接指导项目现场施工安装及投产调试工作，</w:t>
            </w:r>
            <w:r>
              <w:rPr>
                <w:rFonts w:hint="eastAsia" w:ascii="宋体" w:hAnsi="宋体" w:eastAsia="宋体" w:cs="宋体"/>
                <w:color w:val="000000"/>
                <w:sz w:val="24"/>
                <w:szCs w:val="24"/>
              </w:rPr>
              <w:t xml:space="preserve">上述内容结合本项目特点编制的</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得6分；</w:t>
            </w:r>
            <w:r>
              <w:rPr>
                <w:rFonts w:hint="eastAsia" w:ascii="宋体" w:hAnsi="宋体" w:eastAsia="宋体" w:cs="宋体"/>
                <w:color w:val="000000"/>
                <w:sz w:val="24"/>
                <w:szCs w:val="24"/>
                <w:highlight w:val="none"/>
                <w:lang w:val="en-US" w:eastAsia="zh-CN"/>
              </w:rPr>
            </w:r>
            <w:r/>
          </w:p>
          <w:p>
            <w:pPr>
              <w:pStyle w:val="813"/>
              <w:numPr>
                <w:ilvl w:val="0"/>
                <w:numId w:val="0"/>
              </w:numP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2、方案涵盖全部内容，但部分施工工序细化交底、进度节点管控细节、进场验收台账资料、布局优化细节及调试检测细则等配套内容未结合本项目</w:t>
            </w:r>
            <w:r>
              <w:rPr>
                <w:rFonts w:hint="eastAsia" w:ascii="宋体" w:hAnsi="宋体" w:eastAsia="宋体" w:cs="宋体"/>
                <w:color w:val="000000"/>
                <w:sz w:val="24"/>
                <w:szCs w:val="24"/>
              </w:rPr>
              <w:t xml:space="preserve">特点编制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lang w:val="en-US" w:eastAsia="zh-CN"/>
              </w:rPr>
              <w:t xml:space="preserve">整体工艺流程</w:t>
            </w:r>
            <w:r>
              <w:rPr>
                <w:rFonts w:hint="eastAsia" w:ascii="宋体" w:hAnsi="宋体" w:eastAsia="宋体" w:cs="宋体"/>
                <w:color w:val="000000"/>
                <w:sz w:val="24"/>
                <w:szCs w:val="24"/>
              </w:rPr>
              <w:t xml:space="preserve">缺乏了解</w:t>
            </w:r>
            <w:r>
              <w:rPr>
                <w:rFonts w:hint="eastAsia" w:ascii="宋体" w:hAnsi="宋体" w:eastAsia="宋体" w:cs="宋体"/>
                <w:color w:val="000000"/>
                <w:sz w:val="24"/>
                <w:szCs w:val="24"/>
                <w:highlight w:val="none"/>
                <w:lang w:val="en-US" w:eastAsia="zh-CN"/>
              </w:rPr>
              <w:t xml:space="preserve">的得4分；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3、设施设备建设施工流程、安装进度计划，设备进场与验收、安装布局规划、设备调试等方案，</w:t>
            </w:r>
            <w:r>
              <w:rPr>
                <w:rFonts w:hint="eastAsia" w:ascii="宋体" w:hAnsi="宋体" w:eastAsia="宋体" w:cs="宋体"/>
                <w:color w:val="000000"/>
                <w:sz w:val="24"/>
                <w:szCs w:val="24"/>
              </w:rPr>
              <w:t xml:space="preserve">缺少任意一项具体措施</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得2分；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未提供方案的不得分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rHeight w:val="6018"/>
        </w:trPr>
        <w:tc>
          <w:tcPr>
            <w:tcW w:w="1945" w:type="dxa"/>
            <w:vAlign w:val="center"/>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运维服务体系与实施方案（6分）</w:t>
            </w:r>
            <w:r>
              <w:rPr>
                <w:rFonts w:hint="eastAsia" w:ascii="宋体" w:hAnsi="宋体" w:eastAsia="宋体" w:cs="宋体"/>
                <w:color w:val="000000"/>
                <w:sz w:val="24"/>
                <w:szCs w:val="24"/>
                <w:highlight w:val="none"/>
              </w:rPr>
            </w:r>
            <w:r/>
          </w:p>
        </w:tc>
        <w:tc>
          <w:tcPr>
            <w:tcW w:w="7434" w:type="dxa"/>
            <w:vAlign w:val="center"/>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提供的</w:t>
            </w:r>
            <w:r>
              <w:rPr>
                <w:rFonts w:hint="eastAsia" w:ascii="宋体" w:hAnsi="宋体" w:eastAsia="宋体" w:cs="宋体"/>
                <w:color w:val="000000"/>
                <w:sz w:val="24"/>
                <w:szCs w:val="24"/>
                <w:highlight w:val="none"/>
                <w:lang w:val="en-US" w:eastAsia="zh-CN"/>
              </w:rPr>
              <w:t xml:space="preserve">运维服务体系与实施方案。</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1、方案涵盖全部内容</w:t>
            </w:r>
            <w:r>
              <w:rPr>
                <w:rFonts w:hint="eastAsia" w:ascii="宋体" w:hAnsi="宋体" w:eastAsia="宋体" w:cs="宋体"/>
                <w:color w:val="000000"/>
                <w:sz w:val="24"/>
                <w:szCs w:val="24"/>
                <w:highlight w:val="none"/>
                <w:lang w:val="en-US" w:eastAsia="zh-CN"/>
              </w:rPr>
              <w:t xml:space="preserve">，至少包括运营管理制度、设备运维管理方案、水质监测方案、现场文明服务、巡回检查制度、维保检查及维修设备等方面，</w:t>
            </w:r>
            <w:r>
              <w:rPr>
                <w:rFonts w:hint="eastAsia" w:ascii="宋体" w:hAnsi="宋体" w:eastAsia="宋体" w:cs="宋体"/>
                <w:color w:val="000000"/>
                <w:sz w:val="24"/>
                <w:szCs w:val="24"/>
              </w:rPr>
              <w:t xml:space="preserve">上述内容结合本项目情况和工</w:t>
            </w:r>
            <w:r>
              <w:rPr>
                <w:rFonts w:hint="eastAsia" w:ascii="宋体" w:hAnsi="宋体" w:eastAsia="宋体" w:cs="宋体"/>
                <w:color w:val="000000"/>
                <w:sz w:val="24"/>
                <w:szCs w:val="24"/>
                <w:lang w:val="en-US" w:eastAsia="zh-CN"/>
              </w:rPr>
              <w:t xml:space="preserve">艺</w:t>
            </w:r>
            <w:r>
              <w:rPr>
                <w:rFonts w:hint="eastAsia" w:ascii="宋体" w:hAnsi="宋体" w:eastAsia="宋体" w:cs="宋体"/>
                <w:color w:val="000000"/>
                <w:sz w:val="24"/>
                <w:szCs w:val="24"/>
              </w:rPr>
              <w:t xml:space="preserve">特点编制</w:t>
            </w:r>
            <w:r>
              <w:rPr>
                <w:rFonts w:hint="eastAsia" w:ascii="宋体" w:hAnsi="宋体" w:eastAsia="宋体" w:cs="宋体"/>
                <w:color w:val="000000"/>
                <w:sz w:val="24"/>
                <w:szCs w:val="24"/>
                <w:lang w:val="en-US" w:eastAsia="zh-CN"/>
              </w:rPr>
              <w:t xml:space="preserve">且</w:t>
            </w:r>
            <w:r>
              <w:rPr>
                <w:rFonts w:hint="eastAsia" w:ascii="宋体" w:hAnsi="宋体" w:eastAsia="宋体" w:cs="宋体"/>
                <w:color w:val="000000"/>
                <w:sz w:val="24"/>
                <w:szCs w:val="24"/>
                <w:highlight w:val="none"/>
                <w:lang w:val="en-US" w:eastAsia="zh-CN"/>
              </w:rPr>
              <w:t xml:space="preserve">完全满足长期稳定达标运维管理需求的</w:t>
            </w:r>
            <w:r>
              <w:rPr>
                <w:rFonts w:hint="eastAsia" w:ascii="宋体" w:hAnsi="宋体" w:eastAsia="宋体" w:cs="宋体"/>
                <w:color w:val="000000"/>
                <w:sz w:val="24"/>
                <w:szCs w:val="24"/>
                <w:highlight w:val="none"/>
                <w:lang w:val="en-US" w:eastAsia="zh-CN"/>
              </w:rPr>
              <w:t xml:space="preserve">得6分；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2、方案涵盖全部内容，但</w:t>
            </w:r>
            <w:r>
              <w:rPr>
                <w:rFonts w:hint="eastAsia" w:ascii="宋体" w:hAnsi="宋体" w:eastAsia="宋体" w:cs="宋体"/>
                <w:color w:val="000000"/>
                <w:sz w:val="24"/>
                <w:szCs w:val="24"/>
                <w:highlight w:val="none"/>
                <w:lang w:val="en-US" w:eastAsia="zh-CN"/>
              </w:rPr>
              <w:t xml:space="preserve">运营管理制度、设备运维管理方案、水质监测方案</w:t>
            </w:r>
            <w:r>
              <w:rPr>
                <w:rFonts w:hint="eastAsia" w:ascii="宋体" w:hAnsi="宋体" w:eastAsia="宋体" w:cs="宋体"/>
                <w:color w:val="000000"/>
                <w:sz w:val="24"/>
                <w:szCs w:val="24"/>
              </w:rPr>
              <w:t xml:space="preserve">未结合本工程特点编制</w:t>
            </w:r>
            <w:r>
              <w:rPr>
                <w:rFonts w:hint="eastAsia" w:ascii="宋体" w:hAnsi="宋体" w:eastAsia="宋体" w:cs="宋体"/>
                <w:color w:val="000000"/>
                <w:sz w:val="24"/>
                <w:szCs w:val="24"/>
                <w:highlight w:val="none"/>
                <w:lang w:val="en-US" w:eastAsia="zh-CN"/>
              </w:rPr>
              <w:t xml:space="preserve">，运维管控、运维台账细化管理、水质异常复测复核、巡检隐患分级处置等</w:t>
            </w:r>
            <w:r>
              <w:rPr>
                <w:rFonts w:hint="eastAsia" w:ascii="宋体" w:hAnsi="宋体" w:eastAsia="宋体" w:cs="宋体"/>
                <w:color w:val="000000"/>
                <w:sz w:val="24"/>
                <w:szCs w:val="24"/>
              </w:rPr>
              <w:t xml:space="preserve">虽有描述但无具体实施细则</w:t>
            </w:r>
            <w:r>
              <w:rPr>
                <w:rFonts w:hint="eastAsia" w:ascii="宋体" w:hAnsi="宋体" w:eastAsia="宋体" w:cs="宋体"/>
                <w:color w:val="000000"/>
                <w:sz w:val="24"/>
                <w:szCs w:val="24"/>
                <w:highlight w:val="none"/>
                <w:lang w:val="en-US" w:eastAsia="zh-CN"/>
              </w:rPr>
              <w:t xml:space="preserve">的得4分；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运营管理制度、设备运维管理方案、水质监测方案、现场文明服务、巡回检查制度、维保检查及维修设备等方案</w:t>
            </w:r>
            <w:r>
              <w:rPr>
                <w:rFonts w:hint="eastAsia" w:ascii="宋体" w:hAnsi="宋体" w:eastAsia="宋体" w:cs="宋体"/>
                <w:color w:val="000000"/>
                <w:sz w:val="24"/>
                <w:szCs w:val="24"/>
              </w:rPr>
              <w:t xml:space="preserve">缺少任意一项具体措施的</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得2分；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未提供方案的不得分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rHeight w:val="90"/>
        </w:trPr>
        <w:tc>
          <w:tcPr>
            <w:tcW w:w="1945" w:type="dxa"/>
            <w:vAlign w:val="center"/>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渗滤液处置的重点、难点（6分）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34" w:type="dxa"/>
            <w:vAlign w:val="top"/>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提供的</w:t>
            </w:r>
            <w:r>
              <w:rPr>
                <w:rFonts w:hint="eastAsia" w:ascii="宋体" w:hAnsi="宋体" w:eastAsia="宋体" w:cs="宋体"/>
                <w:color w:val="000000"/>
                <w:sz w:val="24"/>
                <w:szCs w:val="24"/>
                <w:highlight w:val="none"/>
                <w:lang w:val="en-US" w:eastAsia="zh-CN"/>
              </w:rPr>
              <w:t xml:space="preserve">渗滤液处置的重点、难点考察其是否包含废水处理的难点、可能出现的问题及解决办法、运营难点分析及对策、特殊运营状况、工艺管理难点等方面。</w:t>
            </w:r>
            <w:r>
              <w:rPr>
                <w:rFonts w:hint="eastAsia" w:ascii="宋体" w:hAnsi="宋体" w:eastAsia="宋体" w:cs="宋体"/>
                <w:color w:val="000000"/>
                <w:sz w:val="24"/>
                <w:szCs w:val="24"/>
                <w:highlight w:val="none"/>
              </w:rPr>
            </w:r>
            <w:r/>
          </w:p>
          <w:p>
            <w:pPr>
              <w:pStyle w:val="813"/>
              <w:numPr>
                <w:ilvl w:val="0"/>
                <w:numId w:val="6"/>
              </w:numPr>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涵盖全部内容，难点分析贴合本项目渗滤液水质波动、污染物复杂、处理难度大等实际工况，运行风险预判全面、问题对症解决措施详实可落地，运营管控对策长效实用，高低水量、水质突变、设备故障、极端天气等特殊工况处置预案齐全，各工艺单元管控难点调控措施精准细化，全流程工艺保障及风险防控闭环到位，可直接指导渗滤液长期稳定达标处置运维工作，</w:t>
            </w:r>
            <w:r>
              <w:rPr>
                <w:rFonts w:hint="eastAsia" w:ascii="宋体" w:hAnsi="宋体" w:eastAsia="宋体" w:cs="宋体"/>
                <w:color w:val="000000"/>
                <w:sz w:val="24"/>
                <w:szCs w:val="24"/>
              </w:rPr>
              <w:t xml:space="preserve">上述内容</w:t>
            </w:r>
            <w:r>
              <w:rPr>
                <w:rFonts w:hint="eastAsia" w:ascii="宋体" w:hAnsi="宋体" w:eastAsia="宋体" w:cs="宋体"/>
                <w:color w:val="000000"/>
                <w:sz w:val="24"/>
                <w:szCs w:val="24"/>
                <w:lang w:val="en-US" w:eastAsia="zh-CN"/>
              </w:rPr>
              <w:t xml:space="preserve">完全</w:t>
            </w:r>
            <w:r>
              <w:rPr>
                <w:rFonts w:hint="eastAsia" w:ascii="宋体" w:hAnsi="宋体" w:eastAsia="宋体" w:cs="宋体"/>
                <w:color w:val="000000"/>
                <w:sz w:val="24"/>
                <w:szCs w:val="24"/>
              </w:rPr>
              <w:t xml:space="preserve">结合本项目情况和工</w:t>
            </w:r>
            <w:r>
              <w:rPr>
                <w:rFonts w:hint="eastAsia" w:ascii="宋体" w:hAnsi="宋体" w:eastAsia="宋体" w:cs="宋体"/>
                <w:color w:val="000000"/>
                <w:sz w:val="24"/>
                <w:szCs w:val="24"/>
                <w:lang w:val="en-US" w:eastAsia="zh-CN"/>
              </w:rPr>
              <w:t xml:space="preserve">艺</w:t>
            </w:r>
            <w:r>
              <w:rPr>
                <w:rFonts w:hint="eastAsia" w:ascii="宋体" w:hAnsi="宋体" w:eastAsia="宋体" w:cs="宋体"/>
                <w:color w:val="000000"/>
                <w:sz w:val="24"/>
                <w:szCs w:val="24"/>
              </w:rPr>
              <w:t xml:space="preserve">特点编制</w:t>
            </w:r>
            <w:r>
              <w:rPr>
                <w:rFonts w:hint="eastAsia" w:ascii="宋体" w:hAnsi="宋体" w:eastAsia="宋体" w:cs="宋体"/>
                <w:color w:val="000000"/>
                <w:sz w:val="24"/>
                <w:szCs w:val="24"/>
                <w:highlight w:val="none"/>
                <w:lang w:val="en-US" w:eastAsia="zh-CN"/>
              </w:rPr>
              <w:t xml:space="preserve">的得6分；</w:t>
            </w:r>
            <w:r>
              <w:rPr>
                <w:rFonts w:hint="eastAsia" w:ascii="宋体" w:hAnsi="宋体" w:eastAsia="宋体" w:cs="宋体"/>
                <w:color w:val="000000"/>
                <w:sz w:val="24"/>
                <w:szCs w:val="24"/>
                <w:highlight w:val="none"/>
                <w:lang w:val="en-US" w:eastAsia="zh-CN"/>
              </w:rPr>
            </w:r>
            <w:r/>
          </w:p>
          <w:p>
            <w:pPr>
              <w:pStyle w:val="813"/>
              <w:numPr>
                <w:ilvl w:val="0"/>
                <w:numId w:val="0"/>
              </w:numP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涵盖全部内容，但部分工艺管控细节、特殊工况处置步骤、问题整改复核长效管控等配套内容细化程度不足，未结合本项目特点编制废水处理的难点、可能出现的问题及解决办法、运营难点分析及对策的得4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3、废水处理的难点、可能出现的问题及解决办法、运营难点分析及对策、特殊运营状况、工艺管理难点等内容缺少任意一项的得2分；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4、未提供方案的不得分。</w:t>
            </w:r>
            <w:r>
              <w:rPr>
                <w:rFonts w:hint="eastAsia" w:ascii="宋体" w:hAnsi="宋体" w:eastAsia="宋体" w:cs="宋体"/>
                <w:color w:val="000000"/>
                <w:sz w:val="24"/>
                <w:szCs w:val="24"/>
                <w:highlight w:val="none"/>
              </w:rPr>
            </w:r>
            <w:r/>
          </w:p>
        </w:tc>
      </w:tr>
      <w:tr>
        <w:trPr>
          <w:trHeight w:val="90"/>
        </w:trPr>
        <w:tc>
          <w:tcPr>
            <w:tcW w:w="1945" w:type="dxa"/>
            <w:vAlign w:val="center"/>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质量保证措施（6分）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34" w:type="dxa"/>
            <w:vAlign w:val="top"/>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提供的</w:t>
            </w:r>
            <w:r>
              <w:rPr>
                <w:rFonts w:hint="eastAsia" w:ascii="宋体" w:hAnsi="宋体" w:eastAsia="宋体" w:cs="宋体"/>
                <w:color w:val="000000"/>
                <w:sz w:val="24"/>
                <w:szCs w:val="24"/>
                <w:highlight w:val="none"/>
                <w:lang w:val="en-US" w:eastAsia="zh-CN"/>
              </w:rPr>
              <w:t xml:space="preserve">质量保证措施，考察其是否包含运维组织设计的质量保证措施、整个项目的质量保证体系、质量管理体系流程控制制度、投诉处置流程、质量控制措施、质量管理制度、运维监测部分、水样化验监测等方面。</w:t>
            </w:r>
            <w:r>
              <w:rPr>
                <w:rFonts w:hint="eastAsia" w:ascii="宋体" w:hAnsi="宋体" w:eastAsia="宋体" w:cs="宋体"/>
                <w:color w:val="000000"/>
                <w:sz w:val="24"/>
                <w:szCs w:val="24"/>
                <w:highlight w:val="none"/>
                <w:lang w:val="en-US" w:eastAsia="zh-CN"/>
              </w:rPr>
            </w:r>
            <w:r/>
          </w:p>
          <w:p>
            <w:pPr>
              <w:pStyle w:val="871"/>
              <w:ind w:left="0" w:right="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质量保证措施涵盖全部内容</w:t>
            </w:r>
            <w:r>
              <w:rPr>
                <w:rFonts w:hint="eastAsia" w:ascii="宋体" w:hAnsi="宋体" w:eastAsia="宋体" w:cs="宋体"/>
                <w:color w:val="000000"/>
                <w:sz w:val="24"/>
                <w:szCs w:val="24"/>
                <w:highlight w:val="none"/>
              </w:rPr>
              <w:t xml:space="preserve">，质保组织架构清晰、岗位职责明确、质保体系闭环完整、各项质量管理制度健全管用，投诉受理、处置、整改、回访全流程闭环，运维质量管控措施细化到位，运维常态化监测及水样采样、化验、台账记录、水质异常整改复测流程规范，所有质量保障内容贴合项目运维实际工况，可直接落地执行、全程台账可追溯，完全满足项目长期运维质量稳定达标管控要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highlight w:val="none"/>
              </w:rPr>
            </w:r>
            <w:r/>
          </w:p>
          <w:p>
            <w:pPr>
              <w:pStyle w:val="871"/>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质量保证措施涵盖全部内容</w:t>
            </w:r>
            <w:r>
              <w:rPr>
                <w:rFonts w:hint="eastAsia" w:ascii="宋体" w:hAnsi="宋体" w:eastAsia="宋体" w:cs="宋体"/>
                <w:color w:val="000000"/>
                <w:sz w:val="24"/>
                <w:szCs w:val="24"/>
                <w:highlight w:val="none"/>
              </w:rPr>
              <w:t xml:space="preserve">，但部分质量管控细则、运维监测频次、水样化验台账管理、投诉事后复核机制等内容细化程度不足，</w:t>
            </w:r>
            <w:r>
              <w:rPr>
                <w:rFonts w:hint="eastAsia" w:ascii="宋体" w:hAnsi="宋体" w:cs="宋体"/>
                <w:color w:val="000000"/>
                <w:sz w:val="24"/>
                <w:szCs w:val="24"/>
                <w:highlight w:val="none"/>
                <w:lang w:val="en-US" w:eastAsia="zh-CN"/>
              </w:rPr>
              <w:t xml:space="preserve">其余各项措施</w:t>
            </w:r>
            <w:r>
              <w:rPr>
                <w:rFonts w:hint="eastAsia" w:ascii="宋体" w:hAnsi="宋体" w:eastAsia="宋体" w:cs="宋体"/>
                <w:color w:val="000000"/>
                <w:sz w:val="24"/>
                <w:szCs w:val="24"/>
                <w:highlight w:val="none"/>
                <w:lang w:val="en-US" w:eastAsia="zh-CN"/>
              </w:rPr>
              <w:t xml:space="preserve">未结合本项目特点编制</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highlight w:val="none"/>
              </w:rPr>
            </w:r>
            <w:r/>
          </w:p>
          <w:p>
            <w:pPr>
              <w:pStyle w:val="871"/>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运维组织设计的质量保证措施、整个项目的质量保证体系、质量管理体系流程控制制度、投诉处置流程、质量控制措施、质量管理制度、运维监测部分、水样化验监测等内容缺少任意一项</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rPr>
              <w:t xml:space="preserve">措施阐述虽有描述但各项措施均无具体实施步骤，措施编制未根据项目</w:t>
            </w:r>
            <w:r>
              <w:rPr>
                <w:rFonts w:hint="eastAsia" w:ascii="宋体" w:hAnsi="宋体" w:cs="宋体"/>
                <w:color w:val="000000"/>
                <w:sz w:val="24"/>
                <w:szCs w:val="24"/>
                <w:lang w:val="en-US" w:eastAsia="zh-CN"/>
              </w:rPr>
              <w:t xml:space="preserve">特点</w:t>
            </w:r>
            <w:r>
              <w:rPr>
                <w:rFonts w:hint="eastAsia" w:ascii="宋体" w:hAnsi="宋体" w:eastAsia="宋体" w:cs="宋体"/>
                <w:color w:val="000000"/>
                <w:sz w:val="24"/>
                <w:szCs w:val="24"/>
              </w:rPr>
              <w:t xml:space="preserve">考虑</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1"/>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未提供方案的不得分。</w:t>
            </w:r>
            <w:r>
              <w:rPr>
                <w:rFonts w:hint="eastAsia" w:ascii="宋体" w:hAnsi="宋体" w:eastAsia="宋体" w:cs="宋体"/>
                <w:color w:val="000000"/>
                <w:sz w:val="24"/>
                <w:szCs w:val="24"/>
                <w:highlight w:val="none"/>
              </w:rPr>
            </w:r>
            <w:r/>
          </w:p>
        </w:tc>
      </w:tr>
      <w:tr>
        <w:trPr>
          <w:trHeight w:val="8791"/>
        </w:trPr>
        <w:tc>
          <w:tcPr>
            <w:tcW w:w="1945" w:type="dxa"/>
            <w:vAlign w:val="center"/>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安全保证措施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7434" w:type="dxa"/>
            <w:vAlign w:val="center"/>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提供的安全保证措施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考察其是否包含安全防护制度、安全防护措施、安全生产体系、安全保障组织机构图、安全保障检查程序图、环保保护及文明运维措施等方面。</w:t>
            </w:r>
            <w:r>
              <w:rPr>
                <w:rFonts w:hint="eastAsia" w:ascii="宋体" w:hAnsi="宋体" w:eastAsia="宋体" w:cs="宋体"/>
                <w:color w:val="000000"/>
                <w:sz w:val="24"/>
                <w:szCs w:val="24"/>
                <w:highlight w:val="none"/>
                <w:lang w:val="en-US" w:eastAsia="zh-CN"/>
              </w:rPr>
            </w:r>
            <w:r/>
          </w:p>
          <w:p>
            <w:pPr>
              <w:pStyle w:val="813"/>
              <w:numPr>
                <w:ilvl w:val="0"/>
                <w:numId w:val="7"/>
              </w:numPr>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措施施涵盖全部内容，安全管理制度健全合规、现场安全防护措施针对性强、安全生产管理体系闭环完整、安全组织架构图及检查程序图表清晰规范、岗位职责分工明确、环保管控及文明运维措施贴合项目现场实际运维工况，安全全流程管控、隐患排查治理、文明作业及环保运维管理措施细化到位，完全满足项目安全生产运维、风险防控、现场安全管理及环保文明运维全部管理要求的得6分；</w:t>
            </w:r>
            <w:r>
              <w:rPr>
                <w:rFonts w:hint="eastAsia" w:ascii="宋体" w:hAnsi="宋体" w:eastAsia="宋体" w:cs="宋体"/>
                <w:color w:val="000000"/>
                <w:sz w:val="24"/>
                <w:szCs w:val="24"/>
                <w:highlight w:val="none"/>
                <w:lang w:val="en-US" w:eastAsia="zh-CN"/>
              </w:rPr>
            </w:r>
            <w:r/>
          </w:p>
          <w:p>
            <w:pPr>
              <w:pStyle w:val="813"/>
              <w:numPr>
                <w:ilvl w:val="0"/>
                <w:numId w:val="0"/>
              </w:numP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2、措施施涵盖全部内容，但</w:t>
            </w:r>
            <w:r>
              <w:rPr>
                <w:rFonts w:hint="eastAsia" w:ascii="宋体" w:hAnsi="宋体" w:eastAsia="宋体" w:cs="宋体"/>
                <w:color w:val="000000"/>
                <w:sz w:val="24"/>
                <w:szCs w:val="24"/>
              </w:rPr>
              <w:t xml:space="preserve">未明确</w:t>
            </w:r>
            <w:r>
              <w:rPr>
                <w:rFonts w:hint="eastAsia" w:ascii="宋体" w:hAnsi="宋体" w:eastAsia="宋体" w:cs="宋体"/>
                <w:color w:val="000000"/>
                <w:sz w:val="24"/>
                <w:szCs w:val="24"/>
                <w:highlight w:val="none"/>
                <w:lang w:val="en-US" w:eastAsia="zh-CN"/>
              </w:rPr>
              <w:t xml:space="preserve">安全防护制度，安全组织机构图、安全检查程序图不规范，安全防护实操措施及环保文明运维管控虽有描述但无具体实施细则，缺少针对现场安全管控及文明运维实操管理手段的得4分；</w:t>
            </w:r>
            <w:r>
              <w:rPr>
                <w:rFonts w:hint="eastAsia" w:ascii="宋体" w:hAnsi="宋体" w:eastAsia="宋体" w:cs="宋体"/>
                <w:color w:val="000000"/>
                <w:sz w:val="24"/>
                <w:szCs w:val="24"/>
                <w:highlight w:val="none"/>
                <w:lang w:val="en-US" w:eastAsia="zh-CN"/>
              </w:rPr>
            </w:r>
            <w:r/>
          </w:p>
          <w:p>
            <w:pPr>
              <w:pStyle w:val="813"/>
              <w:numPr>
                <w:ilvl w:val="0"/>
                <w:numId w:val="0"/>
              </w:numP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3、安全防护制度、安全防护措施、安全生产体系、安全保障组织机构图、安全保障检查程序图、环保保护及文明运维措施等内容缺少任意一项或</w:t>
            </w:r>
            <w:r>
              <w:rPr>
                <w:rFonts w:hint="eastAsia" w:ascii="宋体" w:hAnsi="宋体" w:eastAsia="宋体" w:cs="宋体"/>
                <w:color w:val="000000"/>
                <w:sz w:val="24"/>
                <w:szCs w:val="24"/>
              </w:rPr>
              <w:t xml:space="preserve">措施阐述虽有描述但各项措施均无具体实施步骤，措施编制未根据项目现状考虑</w:t>
            </w:r>
            <w:r>
              <w:rPr>
                <w:rFonts w:hint="eastAsia" w:ascii="宋体" w:hAnsi="宋体" w:eastAsia="宋体" w:cs="宋体"/>
                <w:color w:val="000000"/>
                <w:sz w:val="24"/>
                <w:szCs w:val="24"/>
                <w:highlight w:val="none"/>
                <w:lang w:val="en-US" w:eastAsia="zh-CN"/>
              </w:rPr>
              <w:t xml:space="preserve">的得2分；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4、未提供方案的不得分。</w:t>
            </w:r>
            <w:r>
              <w:rPr>
                <w:rFonts w:hint="eastAsia" w:ascii="宋体" w:hAnsi="宋体" w:eastAsia="宋体" w:cs="宋体"/>
                <w:color w:val="000000"/>
                <w:sz w:val="24"/>
                <w:szCs w:val="24"/>
                <w:highlight w:val="none"/>
              </w:rPr>
            </w:r>
            <w:r/>
          </w:p>
        </w:tc>
      </w:tr>
      <w:tr>
        <w:trPr>
          <w:trHeight w:val="91"/>
        </w:trPr>
        <w:tc>
          <w:tcPr>
            <w:tcW w:w="1945" w:type="dxa"/>
            <w:vAlign w:val="center"/>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物资管理方案（6分）</w:t>
            </w:r>
            <w:r>
              <w:rPr>
                <w:rFonts w:hint="eastAsia" w:ascii="宋体" w:hAnsi="宋体" w:eastAsia="宋体" w:cs="宋体"/>
                <w:color w:val="000000"/>
                <w:sz w:val="24"/>
                <w:szCs w:val="24"/>
                <w:highlight w:val="none"/>
              </w:rPr>
            </w:r>
            <w:r/>
          </w:p>
        </w:tc>
        <w:tc>
          <w:tcPr>
            <w:tcW w:w="7434" w:type="dxa"/>
            <w:vAlign w:val="center"/>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根据供应商提供的物资管理方案，考察其是否包含物资采购管理、入库验收与存储管理、使用与消耗管理、废弃物处理管理等方面。</w:t>
            </w:r>
            <w:r>
              <w:rPr>
                <w:rFonts w:hint="eastAsia" w:ascii="宋体" w:hAnsi="宋体" w:eastAsia="宋体" w:cs="宋体"/>
                <w:color w:val="000000"/>
                <w:sz w:val="24"/>
                <w:szCs w:val="24"/>
                <w:highlight w:val="none"/>
                <w:lang w:val="en-US" w:eastAsia="zh-CN"/>
              </w:rPr>
            </w:r>
            <w:r/>
          </w:p>
          <w:p>
            <w:pPr>
              <w:pStyle w:val="813"/>
              <w:numPr>
                <w:ilvl w:val="0"/>
                <w:numId w:val="8"/>
              </w:numPr>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涵盖全部内容，全流程管理制度健全、管控流程闭环清晰，采购审批、到货核验、分类仓储、防潮防火防盗保管、领用登记、消耗统计台账、废旧物资及运维废弃物分类收集、合规转运处置、台账归档等各项细化措施齐全详实，</w:t>
            </w:r>
            <w:r>
              <w:rPr>
                <w:rFonts w:hint="eastAsia" w:ascii="宋体" w:hAnsi="宋体" w:eastAsia="宋体" w:cs="宋体"/>
                <w:color w:val="000000"/>
                <w:sz w:val="24"/>
                <w:szCs w:val="24"/>
              </w:rPr>
              <w:t xml:space="preserve">上述内容</w:t>
            </w:r>
            <w:r>
              <w:rPr>
                <w:rFonts w:hint="eastAsia" w:ascii="宋体" w:hAnsi="宋体" w:eastAsia="宋体" w:cs="宋体"/>
                <w:color w:val="000000"/>
                <w:sz w:val="24"/>
                <w:szCs w:val="24"/>
                <w:lang w:val="en-US" w:eastAsia="zh-CN"/>
              </w:rPr>
              <w:t xml:space="preserve">完全</w:t>
            </w:r>
            <w:r>
              <w:rPr>
                <w:rFonts w:hint="eastAsia" w:ascii="宋体" w:hAnsi="宋体" w:eastAsia="宋体" w:cs="宋体"/>
                <w:color w:val="000000"/>
                <w:sz w:val="24"/>
                <w:szCs w:val="24"/>
              </w:rPr>
              <w:t xml:space="preserve">结合本项目情况和工</w:t>
            </w:r>
            <w:r>
              <w:rPr>
                <w:rFonts w:hint="eastAsia" w:ascii="宋体" w:hAnsi="宋体" w:eastAsia="宋体" w:cs="宋体"/>
                <w:color w:val="000000"/>
                <w:sz w:val="24"/>
                <w:szCs w:val="24"/>
                <w:lang w:val="en-US" w:eastAsia="zh-CN"/>
              </w:rPr>
              <w:t xml:space="preserve">艺</w:t>
            </w:r>
            <w:r>
              <w:rPr>
                <w:rFonts w:hint="eastAsia" w:ascii="宋体" w:hAnsi="宋体" w:eastAsia="宋体" w:cs="宋体"/>
                <w:color w:val="000000"/>
                <w:sz w:val="24"/>
                <w:szCs w:val="24"/>
              </w:rPr>
              <w:t xml:space="preserve">特点编制</w:t>
            </w:r>
            <w:r>
              <w:rPr>
                <w:rFonts w:hint="eastAsia" w:ascii="宋体" w:hAnsi="宋体" w:eastAsia="宋体" w:cs="宋体"/>
                <w:color w:val="000000"/>
                <w:sz w:val="24"/>
                <w:szCs w:val="24"/>
                <w:highlight w:val="none"/>
                <w:lang w:val="en-US" w:eastAsia="zh-CN"/>
              </w:rPr>
              <w:t xml:space="preserve">的得6分；</w:t>
            </w:r>
            <w:r>
              <w:rPr>
                <w:rFonts w:hint="eastAsia" w:ascii="宋体" w:hAnsi="宋体" w:eastAsia="宋体" w:cs="宋体"/>
                <w:color w:val="000000"/>
                <w:sz w:val="24"/>
                <w:szCs w:val="24"/>
                <w:highlight w:val="none"/>
                <w:lang w:val="en-US" w:eastAsia="zh-CN"/>
              </w:rPr>
            </w:r>
            <w:r/>
          </w:p>
          <w:p>
            <w:pPr>
              <w:pStyle w:val="813"/>
              <w:numPr>
                <w:ilvl w:val="0"/>
                <w:numId w:val="0"/>
              </w:numP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涵盖全部内容，但未结合本项目特点细化台账管理、日常巡查管控、异常情况处置等环节的实操细节，采购审批、到货核验、分类仓储、防潮防火防盗保管、领用登记、消耗统计台账、废旧物资及运维废弃物分类收集、合规转运处置、台账归档等缺少任意一项，</w:t>
            </w:r>
            <w:r>
              <w:rPr>
                <w:rFonts w:hint="eastAsia" w:ascii="宋体" w:hAnsi="宋体" w:eastAsia="宋体" w:cs="宋体"/>
                <w:color w:val="000000"/>
                <w:sz w:val="24"/>
                <w:szCs w:val="24"/>
              </w:rPr>
              <w:t xml:space="preserve">上述内容</w:t>
            </w:r>
            <w:r>
              <w:rPr>
                <w:rFonts w:hint="eastAsia" w:ascii="宋体" w:hAnsi="宋体" w:eastAsia="宋体" w:cs="宋体"/>
                <w:color w:val="000000"/>
                <w:sz w:val="24"/>
                <w:szCs w:val="24"/>
                <w:highlight w:val="none"/>
                <w:lang w:val="en-US" w:eastAsia="zh-CN"/>
              </w:rPr>
              <w:t xml:space="preserve">虽有描述但无具体</w:t>
            </w:r>
            <w:r>
              <w:rPr>
                <w:rFonts w:hint="eastAsia" w:ascii="宋体" w:hAnsi="宋体" w:eastAsia="宋体" w:cs="宋体"/>
                <w:color w:val="000000"/>
                <w:sz w:val="24"/>
                <w:szCs w:val="24"/>
              </w:rPr>
              <w:t xml:space="preserve">施细则</w:t>
            </w:r>
            <w:r>
              <w:rPr>
                <w:rFonts w:hint="eastAsia" w:ascii="宋体" w:hAnsi="宋体" w:eastAsia="宋体" w:cs="宋体"/>
                <w:color w:val="000000"/>
                <w:sz w:val="24"/>
                <w:szCs w:val="24"/>
                <w:highlight w:val="none"/>
                <w:lang w:val="en-US" w:eastAsia="zh-CN"/>
              </w:rPr>
              <w:t xml:space="preserve">的得4分；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3、物资采购管理、入库验收与存储管理、使用与消耗管理、废弃物处理管理等内容缺少任意一项的得2分；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未提供方案的不得分。</w:t>
            </w:r>
            <w:r>
              <w:rPr>
                <w:rFonts w:hint="eastAsia" w:ascii="宋体" w:hAnsi="宋体" w:eastAsia="宋体" w:cs="宋体"/>
                <w:color w:val="000000"/>
                <w:highlight w:val="none"/>
              </w:rPr>
            </w:r>
            <w:r/>
          </w:p>
        </w:tc>
      </w:tr>
      <w:tr>
        <w:trPr>
          <w:trHeight w:val="90"/>
        </w:trPr>
        <w:tc>
          <w:tcPr>
            <w:tcW w:w="1945" w:type="dxa"/>
            <w:vAlign w:val="center"/>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风险管理与应急预案（6分）</w:t>
            </w:r>
            <w:r>
              <w:rPr>
                <w:rFonts w:hint="eastAsia" w:ascii="宋体" w:hAnsi="宋体" w:eastAsia="宋体" w:cs="宋体"/>
                <w:color w:val="000000"/>
                <w:sz w:val="24"/>
                <w:szCs w:val="24"/>
                <w:highlight w:val="none"/>
              </w:rPr>
            </w:r>
            <w:r/>
          </w:p>
        </w:tc>
        <w:tc>
          <w:tcPr>
            <w:tcW w:w="7434" w:type="dxa"/>
            <w:vAlign w:val="center"/>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根据</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提供的</w:t>
            </w:r>
            <w:r>
              <w:rPr>
                <w:rFonts w:hint="eastAsia" w:ascii="宋体" w:hAnsi="宋体" w:eastAsia="宋体" w:cs="宋体"/>
                <w:color w:val="000000"/>
                <w:sz w:val="24"/>
                <w:szCs w:val="24"/>
                <w:highlight w:val="none"/>
                <w:lang w:val="en-US" w:eastAsia="zh-CN"/>
              </w:rPr>
              <w:t xml:space="preserve">风险管理与应急预案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考察其是否包含应急预案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意外事故等突发情况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自然灾害等突发情况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火灾事故、设备系统故障、水质超标条件下、水量超标条件下</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lang w:val="en-US" w:eastAsia="zh-CN"/>
              </w:rPr>
              <w:t xml:space="preserve">应急计划等方面。</w:t>
            </w:r>
            <w:r>
              <w:rPr>
                <w:rFonts w:hint="eastAsia" w:ascii="宋体" w:hAnsi="宋体" w:eastAsia="宋体" w:cs="宋体"/>
                <w:color w:val="000000"/>
                <w:sz w:val="24"/>
                <w:szCs w:val="24"/>
                <w:highlight w:val="none"/>
                <w:lang w:val="en-US" w:eastAsia="zh-CN"/>
              </w:rPr>
            </w:r>
            <w:r/>
          </w:p>
          <w:p>
            <w:pPr>
              <w:pStyle w:val="813"/>
              <w:numPr>
                <w:ilvl w:val="0"/>
                <w:numId w:val="9"/>
              </w:numPr>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方案涵盖全部内容，明确意外事故、自然灾害、火灾事故、设备系统故障、水质及水量超标等全部工况的具体实施细则，针对本项目特点编制应急计划、明确责任分工、防控及救援措施的得6分；</w:t>
            </w:r>
            <w:r>
              <w:rPr>
                <w:rFonts w:hint="eastAsia" w:ascii="宋体" w:hAnsi="宋体" w:eastAsia="宋体" w:cs="宋体"/>
                <w:color w:val="000000"/>
                <w:sz w:val="24"/>
                <w:szCs w:val="24"/>
                <w:highlight w:val="none"/>
                <w:lang w:val="en-US" w:eastAsia="zh-CN"/>
              </w:rPr>
            </w:r>
            <w:r/>
          </w:p>
          <w:p>
            <w:pPr>
              <w:pStyle w:val="813"/>
              <w:numPr>
                <w:ilvl w:val="0"/>
                <w:numId w:val="0"/>
              </w:numP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2、方案涵盖全部内容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应急预案清晰，各种突发状况（意外事故等突发情况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自然灾害等突发情况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火灾事故、设备系统故障、水质超标条件下、水量超标条件下</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lang w:val="en-US" w:eastAsia="zh-CN"/>
              </w:rPr>
              <w:t xml:space="preserve">）缺少任意一项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应急计划虽有描述但无具体</w:t>
            </w:r>
            <w:r>
              <w:rPr>
                <w:rFonts w:hint="eastAsia" w:ascii="宋体" w:hAnsi="宋体" w:eastAsia="宋体" w:cs="宋体"/>
                <w:color w:val="000000"/>
                <w:sz w:val="24"/>
                <w:szCs w:val="24"/>
              </w:rPr>
              <w:t xml:space="preserve">施细则</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得4分；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3、风险管理、应急预案及应急计划等内容缺少任意一项的得1分；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4、有缺项或未提供方案的不得分。</w:t>
            </w:r>
            <w:r>
              <w:rPr>
                <w:rFonts w:hint="eastAsia" w:ascii="宋体" w:hAnsi="宋体" w:eastAsia="宋体" w:cs="宋体"/>
                <w:color w:val="000000"/>
                <w:sz w:val="24"/>
                <w:szCs w:val="24"/>
                <w:highlight w:val="none"/>
              </w:rPr>
            </w:r>
            <w:r/>
          </w:p>
        </w:tc>
      </w:tr>
      <w:tr>
        <w:trPr>
          <w:trHeight w:val="312"/>
        </w:trPr>
        <w:tc>
          <w:tcPr>
            <w:tcW w:w="1945" w:type="dxa"/>
            <w:vAlign w:val="center"/>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培训方案（6分）</w:t>
            </w:r>
            <w:r>
              <w:rPr>
                <w:rFonts w:hint="eastAsia" w:ascii="宋体" w:hAnsi="宋体" w:eastAsia="宋体" w:cs="宋体"/>
                <w:color w:val="000000"/>
                <w:sz w:val="24"/>
                <w:szCs w:val="24"/>
                <w:highlight w:val="none"/>
              </w:rPr>
            </w:r>
            <w:r/>
          </w:p>
        </w:tc>
        <w:tc>
          <w:tcPr>
            <w:tcW w:w="7434" w:type="dxa"/>
            <w:vAlign w:val="center"/>
            <w:textDirection w:val="lrTb"/>
            <w:noWrap w:val="false"/>
          </w:tcPr>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根据供应商提供的培训方案：（包含：培训要求、培训目的、培训对象、培训内容等）</w:t>
            </w:r>
            <w:r>
              <w:rPr>
                <w:rFonts w:hint="eastAsia" w:ascii="宋体" w:hAnsi="宋体" w:eastAsia="宋体" w:cs="宋体"/>
                <w:color w:val="000000"/>
                <w:sz w:val="24"/>
                <w:szCs w:val="24"/>
                <w:highlight w:val="none"/>
                <w:lang w:val="en-US" w:eastAsia="zh-CN"/>
              </w:rPr>
            </w:r>
            <w:r/>
          </w:p>
          <w:p>
            <w:pPr>
              <w:pStyle w:val="813"/>
              <w:numPr>
                <w:ilvl w:val="0"/>
                <w:numId w:val="10"/>
              </w:numPr>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涵盖全部内容，培训管理纪律及实施要求、培训工作目明确清晰、培训岗位对象划分精准全覆盖所有在岗运维人员、针对现场实操及安全运维、水质管控、设备操作、应急处置等实际工作需要编制培训课程内容，培训组织安排合理、授课重点突出的得6分；</w:t>
            </w:r>
            <w:r>
              <w:rPr>
                <w:rFonts w:hint="eastAsia" w:ascii="宋体" w:hAnsi="宋体" w:eastAsia="宋体" w:cs="宋体"/>
                <w:color w:val="000000"/>
                <w:sz w:val="24"/>
                <w:szCs w:val="24"/>
                <w:highlight w:val="none"/>
                <w:lang w:val="en-US" w:eastAsia="zh-CN"/>
              </w:rPr>
            </w:r>
            <w:r/>
          </w:p>
          <w:p>
            <w:pPr>
              <w:pStyle w:val="813"/>
              <w:numPr>
                <w:ilvl w:val="0"/>
                <w:numId w:val="0"/>
              </w:numP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2、方案涵盖全部内容，培训管理细则、岗位针对性授课要点、培训考核及效果验证等配套内容虽有描述，但细化程度不足，未明确培训目的，未针对本项目的特点编制培训内容及要求的得4分；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3、培训要求、培训目的、培训对象、培训内容等内容缺少任意一项的得2分；</w:t>
            </w:r>
            <w:r>
              <w:rPr>
                <w:rFonts w:hint="eastAsia" w:ascii="宋体" w:hAnsi="宋体" w:eastAsia="宋体" w:cs="宋体"/>
                <w:color w:val="000000"/>
                <w:sz w:val="24"/>
                <w:szCs w:val="24"/>
                <w:highlight w:val="none"/>
                <w:lang w:val="en-US" w:eastAsia="zh-CN"/>
              </w:rPr>
            </w:r>
            <w:r/>
          </w:p>
          <w:p>
            <w:pPr>
              <w:pStyle w:val="813"/>
              <w:ind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4、未提供方案的不得分。</w:t>
            </w:r>
            <w:r>
              <w:rPr>
                <w:rFonts w:hint="eastAsia" w:ascii="宋体" w:hAnsi="宋体" w:eastAsia="宋体" w:cs="宋体"/>
                <w:color w:val="000000"/>
                <w:sz w:val="24"/>
                <w:szCs w:val="24"/>
                <w:highlight w:val="none"/>
              </w:rPr>
            </w:r>
            <w:r/>
          </w:p>
        </w:tc>
      </w:tr>
      <w:tr>
        <w:trPr>
          <w:trHeight w:val="6623"/>
        </w:trPr>
        <w:tc>
          <w:tcPr>
            <w:tcW w:w="1945" w:type="dxa"/>
            <w:vAlign w:val="center"/>
            <w:textDirection w:val="lrTb"/>
            <w:noWrap w:val="false"/>
          </w:tcPr>
          <w:p>
            <w:pPr>
              <w:pStyle w:val="813"/>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项目配备人员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16分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7434" w:type="dxa"/>
            <w:vAlign w:val="center"/>
            <w:textDirection w:val="lrTb"/>
            <w:noWrap w:val="false"/>
          </w:tcPr>
          <w:p>
            <w:pPr>
              <w:pStyle w:val="813"/>
              <w:numPr>
                <w:ilvl w:val="0"/>
                <w:numId w:val="11"/>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项目负责人具有环境类高级及以上工程师职称的得4分；具有环境类中级工程师职称的得2分；不提供相关证书不得分。本项最高得4分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3"/>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2、设备建设期现场负责人具有市政公用工程或机电工程二级及以上注册建造师及安全生产考核合格证书（B类）的得2分；本项最高得2分。</w:t>
            </w:r>
            <w:r>
              <w:rPr>
                <w:rFonts w:hint="eastAsia" w:ascii="宋体" w:hAnsi="宋体" w:eastAsia="宋体" w:cs="宋体"/>
                <w:color w:val="000000"/>
                <w:sz w:val="24"/>
                <w:szCs w:val="24"/>
                <w:highlight w:val="none"/>
                <w:lang w:val="en-US" w:eastAsia="zh-CN"/>
              </w:rPr>
            </w:r>
            <w:r/>
          </w:p>
          <w:p>
            <w:pPr>
              <w:pStyle w:val="81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3、其他运营人员具有污废水处理工证、安全员证、电工证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自动监控（污废水）运行工证书、环境检测岗位证书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每提供一</w:t>
            </w:r>
            <w:r>
              <w:rPr>
                <w:rFonts w:hint="eastAsia" w:ascii="宋体" w:hAnsi="宋体" w:eastAsia="宋体" w:cs="宋体"/>
                <w:color w:val="000000"/>
                <w:sz w:val="24"/>
                <w:szCs w:val="24"/>
                <w:highlight w:val="none"/>
                <w:lang w:val="en-US" w:eastAsia="zh-CN"/>
              </w:rPr>
              <w:t xml:space="preserve">类</w:t>
            </w:r>
            <w:r>
              <w:rPr>
                <w:rFonts w:hint="eastAsia" w:ascii="宋体" w:hAnsi="宋体" w:eastAsia="宋体" w:cs="宋体"/>
                <w:color w:val="000000"/>
                <w:sz w:val="24"/>
                <w:szCs w:val="24"/>
                <w:highlight w:val="none"/>
              </w:rPr>
              <w:t xml:space="preserve">证书得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13"/>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注：1、</w:t>
            </w:r>
            <w:r>
              <w:rPr>
                <w:rFonts w:hint="eastAsia" w:ascii="宋体" w:hAnsi="宋体" w:eastAsia="宋体" w:cs="宋体"/>
                <w:b/>
                <w:bCs/>
                <w:color w:val="000000"/>
                <w:sz w:val="24"/>
                <w:szCs w:val="24"/>
                <w:highlight w:val="none"/>
              </w:rPr>
              <w:t xml:space="preserve">须提供上述人员</w:t>
            </w:r>
            <w:r>
              <w:rPr>
                <w:rFonts w:hint="eastAsia" w:ascii="宋体" w:hAnsi="宋体" w:eastAsia="宋体" w:cs="宋体"/>
                <w:b/>
                <w:bCs/>
                <w:color w:val="000000"/>
                <w:sz w:val="24"/>
                <w:szCs w:val="24"/>
                <w:highlight w:val="none"/>
                <w:lang w:val="en-US" w:eastAsia="zh-CN"/>
              </w:rPr>
              <w:t xml:space="preserve">相关</w:t>
            </w:r>
            <w:r>
              <w:rPr>
                <w:rFonts w:hint="eastAsia" w:ascii="宋体" w:hAnsi="宋体" w:eastAsia="宋体" w:cs="宋体"/>
                <w:b/>
                <w:bCs/>
                <w:color w:val="000000"/>
                <w:sz w:val="24"/>
                <w:szCs w:val="24"/>
                <w:highlight w:val="none"/>
              </w:rPr>
              <w:t xml:space="preserve">证书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其中安全员证书需由省级及以上主管部门颁发的证书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劳动合同原件扫描件以及202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月以来投标人为其缴纳的任意</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个月的社保证明材料的扫描件并加盖公章,否则不予认可。若为退休人员则需要提供退休证明及劳动合同)，否则不得分。</w:t>
            </w:r>
            <w:r>
              <w:rPr>
                <w:rFonts w:hint="eastAsia" w:ascii="宋体" w:hAnsi="宋体" w:eastAsia="宋体" w:cs="宋体"/>
                <w:b/>
                <w:bCs/>
                <w:color w:val="000000"/>
                <w:sz w:val="24"/>
                <w:szCs w:val="24"/>
                <w:highlight w:val="none"/>
              </w:rPr>
            </w:r>
            <w:r/>
          </w:p>
          <w:p>
            <w:pPr>
              <w:pStyle w:val="813"/>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2、上述所有人员不得重复，不得一人身兼多职。</w:t>
            </w:r>
            <w:r>
              <w:rPr>
                <w:rFonts w:hint="eastAsia" w:ascii="宋体" w:hAnsi="宋体" w:eastAsia="宋体" w:cs="宋体"/>
                <w:b/>
                <w:bCs/>
                <w:color w:val="000000"/>
                <w:sz w:val="24"/>
                <w:szCs w:val="24"/>
                <w:highlight w:val="none"/>
                <w:lang w:val="en-US" w:eastAsia="zh-CN"/>
              </w:rPr>
            </w:r>
            <w:r/>
          </w:p>
        </w:tc>
      </w:tr>
      <w:tr>
        <w:trPr>
          <w:trHeight w:val="2109"/>
        </w:trPr>
        <w:tc>
          <w:tcPr>
            <w:tcW w:w="1945" w:type="dxa"/>
            <w:vAlign w:val="center"/>
            <w:textDirection w:val="lrTb"/>
            <w:noWrap w:val="false"/>
          </w:tcPr>
          <w:p>
            <w:pPr>
              <w:pStyle w:val="81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管理体系</w:t>
            </w:r>
            <w:r>
              <w:rPr>
                <w:rFonts w:hint="eastAsia" w:ascii="宋体" w:hAnsi="宋体" w:eastAsia="宋体" w:cs="宋体"/>
                <w:color w:val="000000"/>
                <w:sz w:val="24"/>
                <w:szCs w:val="24"/>
                <w:highlight w:val="none"/>
              </w:rPr>
            </w:r>
            <w:r/>
          </w:p>
          <w:p>
            <w:pPr>
              <w:pStyle w:val="81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434" w:type="dxa"/>
            <w:vAlign w:val="center"/>
            <w:textDirection w:val="lrTb"/>
            <w:noWrap w:val="false"/>
          </w:tcPr>
          <w:p>
            <w:pPr>
              <w:pStyle w:val="81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投标人通过质量管理体系、环境管理体系、职业健康安全管理体系认证的，每有一个得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分；本项最多得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13"/>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注：上述须提供相应证书（有效期内）扫描件且提供国家认监委网站查询截图</w:t>
            </w:r>
            <w:r>
              <w:rPr>
                <w:rFonts w:hint="eastAsia" w:ascii="宋体" w:hAnsi="宋体" w:eastAsia="宋体" w:cs="宋体"/>
                <w:b/>
                <w:color w:val="000000"/>
                <w:sz w:val="24"/>
                <w:szCs w:val="24"/>
                <w:highlight w:val="none"/>
                <w:lang w:val="en-US" w:eastAsia="zh-CN"/>
              </w:rPr>
              <w:t xml:space="preserve">上传</w:t>
            </w:r>
            <w:r>
              <w:rPr>
                <w:rFonts w:hint="eastAsia" w:ascii="宋体" w:hAnsi="宋体" w:eastAsia="宋体" w:cs="宋体"/>
                <w:b/>
                <w:color w:val="000000"/>
                <w:sz w:val="24"/>
                <w:szCs w:val="24"/>
                <w:highlight w:val="none"/>
              </w:rPr>
              <w:t xml:space="preserve">至响应文件中，否则不得分。(查询地址：http://www.cnca.gov.cn/)。</w:t>
            </w:r>
            <w:r>
              <w:rPr>
                <w:rFonts w:hint="eastAsia" w:ascii="宋体" w:hAnsi="宋体" w:eastAsia="宋体" w:cs="宋体"/>
                <w:b/>
                <w:color w:val="000000"/>
                <w:sz w:val="24"/>
                <w:szCs w:val="24"/>
                <w:highlight w:val="none"/>
              </w:rPr>
            </w:r>
            <w:r/>
          </w:p>
        </w:tc>
      </w:tr>
      <w:tr>
        <w:trPr>
          <w:trHeight w:val="2198"/>
        </w:trPr>
        <w:tc>
          <w:tcPr>
            <w:tcW w:w="1945" w:type="dxa"/>
            <w:vAlign w:val="center"/>
            <w:textDirection w:val="lrTb"/>
            <w:noWrap w:val="false"/>
          </w:tcPr>
          <w:p>
            <w:pPr>
              <w:pStyle w:val="81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p>
            <w:pPr>
              <w:pStyle w:val="81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434" w:type="dxa"/>
            <w:vAlign w:val="center"/>
            <w:textDirection w:val="lrTb"/>
            <w:noWrap w:val="false"/>
          </w:tcPr>
          <w:p>
            <w:pPr>
              <w:pStyle w:val="813"/>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投标人提供2020年1月1日（以合同签订日期为准）以后渗滤液运营或应急等能体现渗滤液处理相关项目或污（废）水项目运维业绩，每提供一个得4分；满分20分。</w:t>
            </w:r>
            <w:r>
              <w:rPr>
                <w:rFonts w:hint="eastAsia" w:ascii="宋体" w:hAnsi="宋体" w:eastAsia="宋体" w:cs="宋体"/>
                <w:color w:val="000000"/>
                <w:sz w:val="24"/>
                <w:szCs w:val="24"/>
                <w:highlight w:val="none"/>
                <w:lang w:val="en-US" w:eastAsia="zh-CN" w:bidi="ar-SA"/>
              </w:rPr>
            </w:r>
            <w:r/>
          </w:p>
          <w:p>
            <w:pPr>
              <w:pStyle w:val="813"/>
              <w:spacing w:line="44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注：投标文件中提供合同扫描件并加盖投标人公章，否则不得分。时间、服务内容以合同为准。</w:t>
            </w:r>
            <w:r>
              <w:rPr>
                <w:rFonts w:hint="eastAsia" w:ascii="宋体" w:hAnsi="宋体" w:eastAsia="宋体" w:cs="宋体"/>
                <w:b/>
                <w:color w:val="000000"/>
                <w:sz w:val="24"/>
                <w:szCs w:val="24"/>
                <w:highlight w:val="none"/>
              </w:rPr>
            </w:r>
            <w:r/>
          </w:p>
        </w:tc>
      </w:tr>
    </w:tbl>
    <w:sectPr>
      <w:footnotePr/>
      <w:endnotePr/>
      <w:type w:val="nextPage"/>
      <w:pgSz w:w="11906" w:h="16838" w:orient="portrait"/>
      <w:pgMar w:top="1134" w:right="1134" w:bottom="1134" w:left="1134"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Tahoma">
    <w:panose1 w:val="020B0604030504040204"/>
  </w:font>
  <w:font w:name="MS Mincho">
    <w:panose1 w:val="020206030504050903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pStyle w:val="813"/>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4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42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4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42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81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81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left"/>
      <w:rPr>
        <w:rFonts w:ascii="Times New Roman" w:hAnsi="Times New Roman" w:eastAsia="宋体" w:cs="Times New Roman"/>
        <w:sz w:val="18"/>
        <w:szCs w:val="18"/>
      </w:rPr>
    </w:pPr>
    <w:r>
      <w:rPr>
        <w:rFonts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3"/>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81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813"/>
                    </w:pPr>
                    <w:r/>
                    <w:r/>
                  </w:p>
                </w:txbxContent>
              </v:textbox>
            </v:shape>
          </w:pict>
        </mc:Fallback>
      </mc:AlternateContent>
    </w:r>
    <w:r>
      <w:rPr>
        <w:rFonts w:ascii="Times New Roman" w:hAnsi="Times New Roman" w:eastAsia="宋体"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813"/>
        <w:tabs>
          <w:tab w:val="num" w:pos="312" w:leader="none"/>
        </w:tabs>
      </w:pPr>
    </w:lvl>
    <w:lvl w:ilvl="1">
      <w:start w:val="1"/>
      <w:numFmt w:val="bullet"/>
      <w:isLgl w:val="false"/>
      <w:suff w:val="tab"/>
      <w:lvlText w:val="o"/>
      <w:lvlJc w:val="left"/>
      <w:pPr>
        <w:pStyle w:val="813"/>
        <w:ind w:left="1440" w:hanging="360"/>
      </w:pPr>
      <w:rPr>
        <w:rFonts w:ascii="Courier New" w:hAnsi="Courier New" w:eastAsia="Courier New" w:cs="Courier New"/>
      </w:rPr>
    </w:lvl>
    <w:lvl w:ilvl="2">
      <w:start w:val="1"/>
      <w:numFmt w:val="bullet"/>
      <w:isLgl w:val="false"/>
      <w:suff w:val="tab"/>
      <w:lvlText w:val="§"/>
      <w:lvlJc w:val="left"/>
      <w:pPr>
        <w:pStyle w:val="813"/>
        <w:ind w:left="2160" w:hanging="360"/>
      </w:pPr>
      <w:rPr>
        <w:rFonts w:ascii="Wingdings" w:hAnsi="Wingdings" w:eastAsia="Wingdings" w:cs="Wingdings"/>
      </w:rPr>
    </w:lvl>
    <w:lvl w:ilvl="3">
      <w:start w:val="1"/>
      <w:numFmt w:val="bullet"/>
      <w:isLgl w:val="false"/>
      <w:suff w:val="tab"/>
      <w:lvlText w:val="·"/>
      <w:lvlJc w:val="left"/>
      <w:pPr>
        <w:pStyle w:val="813"/>
        <w:ind w:left="2880" w:hanging="360"/>
      </w:pPr>
      <w:rPr>
        <w:rFonts w:ascii="Symbol" w:hAnsi="Symbol" w:eastAsia="Symbol" w:cs="Symbol"/>
      </w:rPr>
    </w:lvl>
    <w:lvl w:ilvl="4">
      <w:start w:val="1"/>
      <w:numFmt w:val="bullet"/>
      <w:isLgl w:val="false"/>
      <w:suff w:val="tab"/>
      <w:lvlText w:val="o"/>
      <w:lvlJc w:val="left"/>
      <w:pPr>
        <w:pStyle w:val="813"/>
        <w:ind w:left="3600" w:hanging="360"/>
      </w:pPr>
      <w:rPr>
        <w:rFonts w:ascii="Courier New" w:hAnsi="Courier New" w:eastAsia="Courier New" w:cs="Courier New"/>
      </w:rPr>
    </w:lvl>
    <w:lvl w:ilvl="5">
      <w:start w:val="1"/>
      <w:numFmt w:val="bullet"/>
      <w:isLgl w:val="false"/>
      <w:suff w:val="tab"/>
      <w:lvlText w:val="§"/>
      <w:lvlJc w:val="left"/>
      <w:pPr>
        <w:pStyle w:val="813"/>
        <w:ind w:left="4320" w:hanging="360"/>
      </w:pPr>
      <w:rPr>
        <w:rFonts w:ascii="Wingdings" w:hAnsi="Wingdings" w:eastAsia="Wingdings" w:cs="Wingdings"/>
      </w:rPr>
    </w:lvl>
    <w:lvl w:ilvl="6">
      <w:start w:val="1"/>
      <w:numFmt w:val="bullet"/>
      <w:isLgl w:val="false"/>
      <w:suff w:val="tab"/>
      <w:lvlText w:val="·"/>
      <w:lvlJc w:val="left"/>
      <w:pPr>
        <w:pStyle w:val="813"/>
        <w:ind w:left="5040" w:hanging="360"/>
      </w:pPr>
      <w:rPr>
        <w:rFonts w:ascii="Symbol" w:hAnsi="Symbol" w:eastAsia="Symbol" w:cs="Symbol"/>
      </w:rPr>
    </w:lvl>
    <w:lvl w:ilvl="7">
      <w:start w:val="1"/>
      <w:numFmt w:val="bullet"/>
      <w:isLgl w:val="false"/>
      <w:suff w:val="tab"/>
      <w:lvlText w:val="o"/>
      <w:lvlJc w:val="left"/>
      <w:pPr>
        <w:pStyle w:val="813"/>
        <w:ind w:left="5760" w:hanging="360"/>
      </w:pPr>
      <w:rPr>
        <w:rFonts w:ascii="Courier New" w:hAnsi="Courier New" w:eastAsia="Courier New" w:cs="Courier New"/>
      </w:rPr>
    </w:lvl>
    <w:lvl w:ilvl="8">
      <w:start w:val="1"/>
      <w:numFmt w:val="bullet"/>
      <w:isLgl w:val="false"/>
      <w:suff w:val="tab"/>
      <w:lvlText w:val="§"/>
      <w:lvlJc w:val="left"/>
      <w:pPr>
        <w:pStyle w:val="813"/>
        <w:ind w:left="6480" w:hanging="360"/>
      </w:pPr>
      <w:rPr>
        <w:rFonts w:ascii="Wingdings" w:hAnsi="Wingdings" w:eastAsia="Wingdings" w:cs="Wingdings"/>
      </w:rPr>
    </w:lvl>
  </w:abstractNum>
  <w:abstractNum w:abstractNumId="4">
    <w:multiLevelType w:val="hybridMultilevel"/>
    <w:lvl w:ilvl="0">
      <w:start w:val="1"/>
      <w:numFmt w:val="decimal"/>
      <w:pStyle w:val="814"/>
      <w:isLgl w:val="false"/>
      <w:suff w:val="tab"/>
      <w:lvlText w:val="%1"/>
      <w:lvlJc w:val="left"/>
      <w:pPr>
        <w:pStyle w:val="813"/>
        <w:ind w:left="284" w:hanging="284"/>
        <w:tabs>
          <w:tab w:val="num" w:pos="360" w:leader="none"/>
        </w:tabs>
      </w:pPr>
      <w:rPr>
        <w:rFonts w:ascii="Times New Roman" w:hAnsi="Times New Roman"/>
        <w:b/>
        <w:i w:val="0"/>
        <w:sz w:val="28"/>
      </w:rPr>
    </w:lvl>
    <w:lvl w:ilvl="1">
      <w:start w:val="1"/>
      <w:numFmt w:val="decimal"/>
      <w:pStyle w:val="815"/>
      <w:isLgl w:val="false"/>
      <w:suff w:val="tab"/>
      <w:lvlText w:val="%1.%2"/>
      <w:lvlJc w:val="left"/>
      <w:pPr>
        <w:pStyle w:val="813"/>
        <w:ind w:left="1021" w:hanging="596"/>
        <w:tabs>
          <w:tab w:val="num" w:pos="1021" w:leader="none"/>
        </w:tabs>
      </w:pPr>
      <w:rPr>
        <w:rFonts w:ascii="Times New Roman" w:hAnsi="Times New Roman"/>
        <w:b/>
        <w:i w:val="0"/>
        <w:sz w:val="28"/>
      </w:rPr>
    </w:lvl>
    <w:lvl w:ilvl="2">
      <w:start w:val="1"/>
      <w:numFmt w:val="decimal"/>
      <w:pStyle w:val="816"/>
      <w:isLgl w:val="false"/>
      <w:suff w:val="tab"/>
      <w:lvlText w:val="%1.%2.%3"/>
      <w:lvlJc w:val="left"/>
      <w:pPr>
        <w:pStyle w:val="813"/>
        <w:ind w:left="1588" w:hanging="737"/>
        <w:tabs>
          <w:tab w:val="num" w:pos="1588" w:leader="none"/>
        </w:tabs>
      </w:pPr>
      <w:rPr>
        <w:rFonts w:ascii="Times New Roman" w:hAnsi="Times New Roman"/>
        <w:b/>
        <w:i w:val="0"/>
        <w:sz w:val="24"/>
      </w:rPr>
    </w:lvl>
    <w:lvl w:ilvl="3">
      <w:start w:val="1"/>
      <w:numFmt w:val="decimal"/>
      <w:pStyle w:val="817"/>
      <w:isLgl w:val="false"/>
      <w:suff w:val="tab"/>
      <w:lvlText w:val="%1.%2.%3.%4"/>
      <w:lvlJc w:val="left"/>
      <w:pPr>
        <w:pStyle w:val="813"/>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813"/>
        <w:ind w:left="2551" w:hanging="850"/>
        <w:tabs>
          <w:tab w:val="num" w:pos="3141" w:leader="none"/>
        </w:tabs>
      </w:pPr>
      <w:rPr>
        <w:rFonts w:hint="eastAsia"/>
      </w:rPr>
    </w:lvl>
    <w:lvl w:ilvl="5">
      <w:start w:val="1"/>
      <w:numFmt w:val="decimal"/>
      <w:isLgl w:val="false"/>
      <w:suff w:val="tab"/>
      <w:lvlText w:val="%1.%2.%3.%4.%5.%6"/>
      <w:lvlJc w:val="left"/>
      <w:pPr>
        <w:pStyle w:val="813"/>
        <w:ind w:left="3260" w:hanging="1134"/>
        <w:tabs>
          <w:tab w:val="num" w:pos="3566" w:leader="none"/>
        </w:tabs>
      </w:pPr>
      <w:rPr>
        <w:rFonts w:hint="eastAsia"/>
      </w:rPr>
    </w:lvl>
    <w:lvl w:ilvl="6">
      <w:start w:val="1"/>
      <w:numFmt w:val="decimal"/>
      <w:isLgl w:val="false"/>
      <w:suff w:val="tab"/>
      <w:lvlText w:val="%1.%2.%3.%4.%5.%6.%7"/>
      <w:lvlJc w:val="left"/>
      <w:pPr>
        <w:pStyle w:val="813"/>
        <w:ind w:left="3827" w:hanging="1276"/>
        <w:tabs>
          <w:tab w:val="num" w:pos="4351" w:leader="none"/>
        </w:tabs>
      </w:pPr>
      <w:rPr>
        <w:rFonts w:hint="eastAsia"/>
      </w:rPr>
    </w:lvl>
    <w:lvl w:ilvl="7">
      <w:start w:val="1"/>
      <w:numFmt w:val="decimal"/>
      <w:isLgl w:val="false"/>
      <w:suff w:val="tab"/>
      <w:lvlText w:val="%1.%2.%3.%4.%5.%6.%7.%8"/>
      <w:lvlJc w:val="left"/>
      <w:pPr>
        <w:pStyle w:val="813"/>
        <w:ind w:left="4394" w:hanging="1418"/>
        <w:tabs>
          <w:tab w:val="num" w:pos="5136" w:leader="none"/>
        </w:tabs>
      </w:pPr>
      <w:rPr>
        <w:rFonts w:hint="eastAsia"/>
      </w:rPr>
    </w:lvl>
    <w:lvl w:ilvl="8">
      <w:start w:val="1"/>
      <w:numFmt w:val="decimal"/>
      <w:isLgl w:val="false"/>
      <w:suff w:val="tab"/>
      <w:lvlText w:val="%1.%2.%3.%4.%5.%6.%7.%8.%9"/>
      <w:lvlJc w:val="left"/>
      <w:pPr>
        <w:pStyle w:val="813"/>
        <w:ind w:left="5102" w:hanging="1700"/>
        <w:tabs>
          <w:tab w:val="num" w:pos="5562" w:leader="none"/>
        </w:tabs>
      </w:pPr>
      <w:rPr>
        <w:rFonts w:hint="eastAsia"/>
      </w:rPr>
    </w:lvl>
  </w:abstractNum>
  <w:abstractNum w:abstractNumId="5">
    <w:multiLevelType w:val="hybridMultilevel"/>
    <w:lvl w:ilvl="0">
      <w:start w:val="1"/>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pStyle w:val="8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10"/>
  </w:num>
  <w:num w:numId="5">
    <w:abstractNumId w:val="1"/>
  </w:num>
  <w:num w:numId="6">
    <w:abstractNumId w:val="9"/>
  </w:num>
  <w:num w:numId="7">
    <w:abstractNumId w:val="2"/>
  </w:num>
  <w:num w:numId="8">
    <w:abstractNumId w:val="8"/>
  </w:num>
  <w:num w:numId="9">
    <w:abstractNumId w:val="7"/>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3"/>
    <w:next w:val="813"/>
    <w:link w:val="906"/>
    <w:uiPriority w:val="9"/>
    <w:qFormat/>
    <w:pPr>
      <w:keepLines/>
      <w:keepNext/>
      <w:spacing w:before="480" w:after="200"/>
      <w:outlineLvl w:val="0"/>
    </w:pPr>
    <w:rPr>
      <w:rFonts w:ascii="Arial" w:hAnsi="Arial" w:eastAsia="Arial" w:cs="Arial"/>
      <w:sz w:val="40"/>
      <w:szCs w:val="40"/>
    </w:rPr>
  </w:style>
  <w:style w:type="paragraph" w:styleId="14">
    <w:name w:val="Heading 2"/>
    <w:basedOn w:val="813"/>
    <w:next w:val="813"/>
    <w:link w:val="907"/>
    <w:uiPriority w:val="9"/>
    <w:unhideWhenUsed/>
    <w:qFormat/>
    <w:pPr>
      <w:keepLines/>
      <w:keepNext/>
      <w:spacing w:before="360" w:after="200"/>
      <w:outlineLvl w:val="1"/>
    </w:pPr>
    <w:rPr>
      <w:rFonts w:ascii="Arial" w:hAnsi="Arial" w:eastAsia="Arial" w:cs="Arial"/>
      <w:sz w:val="34"/>
    </w:rPr>
  </w:style>
  <w:style w:type="paragraph" w:styleId="16">
    <w:name w:val="Heading 3"/>
    <w:basedOn w:val="813"/>
    <w:next w:val="813"/>
    <w:link w:val="90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13"/>
    <w:next w:val="813"/>
    <w:link w:val="90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13"/>
    <w:next w:val="813"/>
    <w:link w:val="91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13"/>
    <w:next w:val="813"/>
    <w:link w:val="91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13"/>
    <w:next w:val="813"/>
    <w:link w:val="91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13"/>
    <w:next w:val="813"/>
    <w:link w:val="91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13"/>
    <w:next w:val="813"/>
    <w:link w:val="914"/>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813"/>
    <w:uiPriority w:val="34"/>
    <w:qFormat/>
    <w:pPr>
      <w:contextualSpacing/>
      <w:ind w:left="720"/>
    </w:pPr>
  </w:style>
  <w:style w:type="paragraph" w:styleId="33">
    <w:name w:val="Title"/>
    <w:basedOn w:val="813"/>
    <w:next w:val="813"/>
    <w:link w:val="874"/>
    <w:uiPriority w:val="10"/>
    <w:qFormat/>
    <w:pPr>
      <w:contextualSpacing/>
      <w:spacing w:before="300" w:after="200"/>
    </w:pPr>
    <w:rPr>
      <w:sz w:val="48"/>
      <w:szCs w:val="48"/>
    </w:rPr>
  </w:style>
  <w:style w:type="paragraph" w:styleId="35">
    <w:name w:val="Subtitle"/>
    <w:basedOn w:val="813"/>
    <w:next w:val="813"/>
    <w:link w:val="916"/>
    <w:uiPriority w:val="11"/>
    <w:qFormat/>
    <w:pPr>
      <w:spacing w:before="200" w:after="200"/>
    </w:pPr>
    <w:rPr>
      <w:sz w:val="24"/>
      <w:szCs w:val="24"/>
    </w:rPr>
  </w:style>
  <w:style w:type="paragraph" w:styleId="37">
    <w:name w:val="Quote"/>
    <w:basedOn w:val="813"/>
    <w:next w:val="813"/>
    <w:link w:val="917"/>
    <w:uiPriority w:val="29"/>
    <w:qFormat/>
    <w:pPr>
      <w:ind w:left="720" w:right="720"/>
    </w:pPr>
    <w:rPr>
      <w:i/>
    </w:rPr>
  </w:style>
  <w:style w:type="paragraph" w:styleId="39">
    <w:name w:val="Intense Quote"/>
    <w:basedOn w:val="813"/>
    <w:next w:val="813"/>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813"/>
    <w:link w:val="921"/>
    <w:uiPriority w:val="99"/>
    <w:unhideWhenUsed/>
    <w:pPr>
      <w:spacing w:after="0" w:line="240" w:lineRule="auto"/>
      <w:tabs>
        <w:tab w:val="center" w:pos="7143" w:leader="none"/>
        <w:tab w:val="right" w:pos="14287" w:leader="none"/>
      </w:tabs>
    </w:pPr>
  </w:style>
  <w:style w:type="paragraph" w:styleId="43">
    <w:name w:val="Footer"/>
    <w:basedOn w:val="813"/>
    <w:link w:val="923"/>
    <w:uiPriority w:val="99"/>
    <w:unhideWhenUsed/>
    <w:pPr>
      <w:spacing w:after="0" w:line="240" w:lineRule="auto"/>
      <w:tabs>
        <w:tab w:val="center" w:pos="7143" w:leader="none"/>
        <w:tab w:val="right" w:pos="14287" w:leader="none"/>
      </w:tabs>
    </w:pPr>
  </w:style>
  <w:style w:type="paragraph" w:styleId="45">
    <w:name w:val="Caption"/>
    <w:basedOn w:val="813"/>
    <w:next w:val="81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13"/>
    <w:link w:val="86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13"/>
    <w:link w:val="85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13"/>
    <w:next w:val="813"/>
    <w:uiPriority w:val="39"/>
    <w:unhideWhenUsed/>
    <w:pPr>
      <w:ind w:left="0" w:right="0" w:firstLine="0"/>
      <w:spacing w:after="57"/>
    </w:pPr>
  </w:style>
  <w:style w:type="paragraph" w:styleId="181">
    <w:name w:val="toc 2"/>
    <w:basedOn w:val="813"/>
    <w:next w:val="813"/>
    <w:uiPriority w:val="39"/>
    <w:unhideWhenUsed/>
    <w:pPr>
      <w:ind w:left="283" w:right="0" w:firstLine="0"/>
      <w:spacing w:after="57"/>
    </w:pPr>
  </w:style>
  <w:style w:type="paragraph" w:styleId="182">
    <w:name w:val="toc 3"/>
    <w:basedOn w:val="813"/>
    <w:next w:val="813"/>
    <w:uiPriority w:val="39"/>
    <w:unhideWhenUsed/>
    <w:pPr>
      <w:ind w:left="567" w:right="0" w:firstLine="0"/>
      <w:spacing w:after="57"/>
    </w:pPr>
  </w:style>
  <w:style w:type="paragraph" w:styleId="183">
    <w:name w:val="toc 4"/>
    <w:basedOn w:val="813"/>
    <w:next w:val="813"/>
    <w:uiPriority w:val="39"/>
    <w:unhideWhenUsed/>
    <w:pPr>
      <w:ind w:left="850" w:right="0" w:firstLine="0"/>
      <w:spacing w:after="57"/>
    </w:pPr>
  </w:style>
  <w:style w:type="paragraph" w:styleId="184">
    <w:name w:val="toc 5"/>
    <w:basedOn w:val="813"/>
    <w:next w:val="813"/>
    <w:uiPriority w:val="39"/>
    <w:unhideWhenUsed/>
    <w:pPr>
      <w:ind w:left="1134" w:right="0" w:firstLine="0"/>
      <w:spacing w:after="57"/>
    </w:pPr>
  </w:style>
  <w:style w:type="paragraph" w:styleId="185">
    <w:name w:val="toc 6"/>
    <w:basedOn w:val="813"/>
    <w:next w:val="813"/>
    <w:uiPriority w:val="39"/>
    <w:unhideWhenUsed/>
    <w:pPr>
      <w:ind w:left="1417" w:right="0" w:firstLine="0"/>
      <w:spacing w:after="57"/>
    </w:pPr>
  </w:style>
  <w:style w:type="paragraph" w:styleId="186">
    <w:name w:val="toc 7"/>
    <w:basedOn w:val="813"/>
    <w:next w:val="813"/>
    <w:uiPriority w:val="39"/>
    <w:unhideWhenUsed/>
    <w:pPr>
      <w:ind w:left="1701" w:right="0" w:firstLine="0"/>
      <w:spacing w:after="57"/>
    </w:pPr>
  </w:style>
  <w:style w:type="paragraph" w:styleId="187">
    <w:name w:val="toc 8"/>
    <w:basedOn w:val="813"/>
    <w:next w:val="813"/>
    <w:uiPriority w:val="39"/>
    <w:unhideWhenUsed/>
    <w:pPr>
      <w:ind w:left="1984" w:right="0" w:firstLine="0"/>
      <w:spacing w:after="57"/>
    </w:pPr>
  </w:style>
  <w:style w:type="paragraph" w:styleId="188">
    <w:name w:val="toc 9"/>
    <w:basedOn w:val="813"/>
    <w:next w:val="813"/>
    <w:uiPriority w:val="39"/>
    <w:unhideWhenUsed/>
    <w:pPr>
      <w:ind w:left="2268" w:right="0" w:firstLine="0"/>
      <w:spacing w:after="57"/>
    </w:pPr>
  </w:style>
  <w:style w:type="paragraph" w:styleId="190">
    <w:name w:val="table of figures"/>
    <w:basedOn w:val="813"/>
    <w:next w:val="813"/>
    <w:uiPriority w:val="99"/>
    <w:unhideWhenUsed/>
    <w:pPr>
      <w:spacing w:after="0" w:afterAutospacing="0"/>
    </w:pPr>
  </w:style>
  <w:style w:type="paragraph" w:styleId="813" w:default="1">
    <w:name w:val="Normal"/>
    <w:next w:val="813"/>
    <w:link w:val="813"/>
    <w:pPr>
      <w:jc w:val="both"/>
      <w:widowControl w:val="off"/>
    </w:pPr>
    <w:rPr>
      <w:rFonts w:ascii="Calibri" w:hAnsi="Calibri" w:eastAsia="Arial" w:cs="Times New Roman"/>
      <w:sz w:val="21"/>
      <w:szCs w:val="22"/>
      <w:lang w:val="en-US" w:eastAsia="zh-CN" w:bidi="ar-SA"/>
    </w:rPr>
  </w:style>
  <w:style w:type="paragraph" w:styleId="814">
    <w:name w:val="标题 1"/>
    <w:basedOn w:val="813"/>
    <w:next w:val="813"/>
    <w:link w:val="825"/>
    <w:pPr>
      <w:numPr>
        <w:ilvl w:val="0"/>
        <w:numId w:val="1"/>
      </w:numPr>
      <w:jc w:val="center"/>
      <w:keepLines/>
      <w:keepNext/>
      <w:spacing w:line="360" w:lineRule="auto"/>
      <w:tabs>
        <w:tab w:val="left" w:pos="360" w:leader="none"/>
      </w:tabs>
      <w:outlineLvl w:val="0"/>
    </w:pPr>
    <w:rPr>
      <w:rFonts w:ascii="Times New Roman" w:hAnsi="Times New Roman" w:eastAsia="黑体" w:cs="Times New Roman"/>
      <w:b/>
      <w:sz w:val="36"/>
      <w:szCs w:val="20"/>
    </w:rPr>
  </w:style>
  <w:style w:type="paragraph" w:styleId="815">
    <w:name w:val="标题 2"/>
    <w:basedOn w:val="813"/>
    <w:next w:val="813"/>
    <w:link w:val="826"/>
    <w:pPr>
      <w:numPr>
        <w:ilvl w:val="1"/>
        <w:numId w:val="1"/>
      </w:numPr>
      <w:keepNext/>
      <w:spacing w:line="360" w:lineRule="auto"/>
      <w:tabs>
        <w:tab w:val="left" w:pos="1021" w:leader="none"/>
      </w:tabs>
      <w:outlineLvl w:val="1"/>
    </w:pPr>
    <w:rPr>
      <w:rFonts w:ascii="Times New Roman" w:hAnsi="Times New Roman" w:eastAsia="黑体" w:cs="Times New Roman"/>
      <w:b/>
      <w:sz w:val="28"/>
      <w:szCs w:val="20"/>
    </w:rPr>
  </w:style>
  <w:style w:type="paragraph" w:styleId="816">
    <w:name w:val="标题 3"/>
    <w:basedOn w:val="813"/>
    <w:next w:val="813"/>
    <w:link w:val="827"/>
    <w:pPr>
      <w:numPr>
        <w:ilvl w:val="2"/>
        <w:numId w:val="1"/>
      </w:numPr>
      <w:ind w:firstLine="200"/>
      <w:spacing w:before="120" w:line="360" w:lineRule="auto"/>
      <w:tabs>
        <w:tab w:val="left" w:pos="900" w:leader="none"/>
        <w:tab w:val="left" w:pos="1588" w:leader="none"/>
      </w:tabs>
      <w:outlineLvl w:val="2"/>
    </w:pPr>
    <w:rPr>
      <w:rFonts w:ascii="Times New Roman" w:hAnsi="Times New Roman" w:eastAsia="黑体" w:cs="Times New Roman"/>
      <w:b/>
      <w:sz w:val="28"/>
      <w:szCs w:val="20"/>
    </w:rPr>
  </w:style>
  <w:style w:type="paragraph" w:styleId="817">
    <w:name w:val="标题 4"/>
    <w:basedOn w:val="813"/>
    <w:next w:val="813"/>
    <w:link w:val="828"/>
    <w:pPr>
      <w:numPr>
        <w:ilvl w:val="3"/>
        <w:numId w:val="1"/>
      </w:numPr>
      <w:ind w:firstLine="200"/>
      <w:spacing w:before="120" w:line="360" w:lineRule="auto"/>
      <w:tabs>
        <w:tab w:val="left" w:pos="2155" w:leader="none"/>
      </w:tabs>
      <w:outlineLvl w:val="3"/>
    </w:pPr>
    <w:rPr>
      <w:rFonts w:ascii="Arial" w:hAnsi="Times New Roman" w:eastAsia="黑体" w:cs="Times New Roman"/>
      <w:sz w:val="28"/>
      <w:szCs w:val="20"/>
    </w:rPr>
  </w:style>
  <w:style w:type="paragraph" w:styleId="818">
    <w:name w:val="标题 5"/>
    <w:basedOn w:val="813"/>
    <w:next w:val="813"/>
    <w:link w:val="829"/>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819">
    <w:name w:val="标题 6"/>
    <w:basedOn w:val="813"/>
    <w:next w:val="813"/>
    <w:link w:val="830"/>
    <w:pPr>
      <w:ind w:firstLine="922"/>
      <w:keepLines/>
      <w:keepNext/>
      <w:spacing w:before="240" w:after="64" w:line="320" w:lineRule="auto"/>
      <w:outlineLvl w:val="5"/>
    </w:pPr>
    <w:rPr>
      <w:rFonts w:ascii="Cambria" w:hAnsi="Cambria" w:eastAsia="宋体" w:cs="Times New Roman"/>
      <w:b/>
      <w:bCs/>
      <w:sz w:val="24"/>
      <w:szCs w:val="24"/>
    </w:rPr>
  </w:style>
  <w:style w:type="paragraph" w:styleId="820">
    <w:name w:val="标题 7"/>
    <w:basedOn w:val="813"/>
    <w:next w:val="813"/>
    <w:link w:val="831"/>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821">
    <w:name w:val="标题 8"/>
    <w:basedOn w:val="813"/>
    <w:next w:val="813"/>
    <w:link w:val="832"/>
    <w:pPr>
      <w:ind w:firstLine="922"/>
      <w:keepLines/>
      <w:keepNext/>
      <w:spacing w:before="240" w:after="64" w:line="320" w:lineRule="auto"/>
      <w:outlineLvl w:val="7"/>
    </w:pPr>
    <w:rPr>
      <w:rFonts w:ascii="Cambria" w:hAnsi="Cambria" w:eastAsia="宋体" w:cs="Times New Roman"/>
      <w:sz w:val="24"/>
      <w:szCs w:val="24"/>
    </w:rPr>
  </w:style>
  <w:style w:type="paragraph" w:styleId="822">
    <w:name w:val="标题 9"/>
    <w:basedOn w:val="813"/>
    <w:next w:val="813"/>
    <w:link w:val="833"/>
    <w:pPr>
      <w:ind w:firstLine="922"/>
      <w:keepLines/>
      <w:keepNext/>
      <w:spacing w:before="240" w:after="64" w:line="320" w:lineRule="auto"/>
      <w:outlineLvl w:val="8"/>
    </w:pPr>
    <w:rPr>
      <w:rFonts w:ascii="Cambria" w:hAnsi="Cambria" w:eastAsia="宋体" w:cs="Times New Roman"/>
      <w:szCs w:val="21"/>
    </w:rPr>
  </w:style>
  <w:style w:type="character" w:styleId="823">
    <w:name w:val="默认段落字体"/>
    <w:next w:val="823"/>
    <w:link w:val="813"/>
    <w:rPr>
      <w:rFonts w:ascii="Times New Roman" w:hAnsi="Times New Roman" w:eastAsia="宋体" w:cs="Times New Roman"/>
    </w:rPr>
  </w:style>
  <w:style w:type="table" w:styleId="824">
    <w:name w:val="普通表格"/>
    <w:next w:val="824"/>
    <w:link w:val="813"/>
    <w:rPr>
      <w:rFonts w:ascii="Times New Roman" w:hAnsi="Times New Roman" w:eastAsia="宋体" w:cs="Times New Roman"/>
    </w:rPr>
    <w:tblPr/>
  </w:style>
  <w:style w:type="character" w:styleId="825">
    <w:name w:val="标题 1 字符"/>
    <w:basedOn w:val="823"/>
    <w:next w:val="825"/>
    <w:link w:val="814"/>
    <w:rPr>
      <w:rFonts w:ascii="Times New Roman" w:hAnsi="Times New Roman" w:eastAsia="黑体" w:cs="Times New Roman"/>
      <w:b/>
      <w:sz w:val="36"/>
      <w:szCs w:val="20"/>
    </w:rPr>
  </w:style>
  <w:style w:type="character" w:styleId="826">
    <w:name w:val="标题 2 字符"/>
    <w:basedOn w:val="823"/>
    <w:next w:val="826"/>
    <w:link w:val="815"/>
    <w:rPr>
      <w:rFonts w:ascii="Times New Roman" w:hAnsi="Times New Roman" w:eastAsia="黑体" w:cs="Times New Roman"/>
      <w:b/>
      <w:sz w:val="28"/>
      <w:szCs w:val="20"/>
    </w:rPr>
  </w:style>
  <w:style w:type="character" w:styleId="827">
    <w:name w:val="标题 3 字符"/>
    <w:basedOn w:val="823"/>
    <w:next w:val="827"/>
    <w:link w:val="816"/>
    <w:rPr>
      <w:rFonts w:ascii="Times New Roman" w:hAnsi="Times New Roman" w:eastAsia="黑体" w:cs="Times New Roman"/>
      <w:b/>
      <w:sz w:val="28"/>
      <w:szCs w:val="20"/>
    </w:rPr>
  </w:style>
  <w:style w:type="character" w:styleId="828">
    <w:name w:val="标题 4 字符"/>
    <w:basedOn w:val="823"/>
    <w:next w:val="828"/>
    <w:link w:val="817"/>
    <w:rPr>
      <w:rFonts w:ascii="Arial" w:hAnsi="Times New Roman" w:eastAsia="黑体" w:cs="Times New Roman"/>
      <w:sz w:val="28"/>
      <w:szCs w:val="20"/>
    </w:rPr>
  </w:style>
  <w:style w:type="character" w:styleId="829">
    <w:name w:val="标题 5 字符"/>
    <w:basedOn w:val="823"/>
    <w:next w:val="829"/>
    <w:link w:val="818"/>
    <w:rPr>
      <w:rFonts w:ascii="Times New Roman" w:hAnsi="Times New Roman" w:eastAsia="宋体" w:cs="Times New Roman"/>
      <w:b/>
      <w:bCs/>
      <w:sz w:val="28"/>
      <w:szCs w:val="28"/>
    </w:rPr>
  </w:style>
  <w:style w:type="character" w:styleId="830">
    <w:name w:val="标题 6 字符"/>
    <w:basedOn w:val="823"/>
    <w:next w:val="830"/>
    <w:link w:val="819"/>
    <w:rPr>
      <w:rFonts w:ascii="Cambria" w:hAnsi="Cambria" w:eastAsia="宋体" w:cs="Times New Roman"/>
      <w:b/>
      <w:bCs/>
      <w:sz w:val="24"/>
      <w:szCs w:val="24"/>
    </w:rPr>
  </w:style>
  <w:style w:type="character" w:styleId="831">
    <w:name w:val="标题 7 字符"/>
    <w:basedOn w:val="823"/>
    <w:next w:val="831"/>
    <w:link w:val="820"/>
    <w:rPr>
      <w:rFonts w:ascii="Times New Roman" w:hAnsi="Times New Roman" w:eastAsia="宋体" w:cs="Times New Roman"/>
      <w:b/>
      <w:bCs/>
      <w:sz w:val="24"/>
      <w:szCs w:val="24"/>
    </w:rPr>
  </w:style>
  <w:style w:type="character" w:styleId="832">
    <w:name w:val="标题 8 字符"/>
    <w:basedOn w:val="823"/>
    <w:next w:val="832"/>
    <w:link w:val="821"/>
    <w:rPr>
      <w:rFonts w:ascii="Cambria" w:hAnsi="Cambria" w:eastAsia="宋体" w:cs="Times New Roman"/>
      <w:sz w:val="24"/>
      <w:szCs w:val="24"/>
    </w:rPr>
  </w:style>
  <w:style w:type="character" w:styleId="833">
    <w:name w:val="标题 9 字符"/>
    <w:basedOn w:val="823"/>
    <w:next w:val="833"/>
    <w:link w:val="822"/>
    <w:rPr>
      <w:rFonts w:ascii="Cambria" w:hAnsi="Cambria" w:eastAsia="宋体" w:cs="Times New Roman"/>
      <w:szCs w:val="21"/>
    </w:rPr>
  </w:style>
  <w:style w:type="paragraph" w:styleId="834">
    <w:name w:val="目录 7"/>
    <w:basedOn w:val="813"/>
    <w:next w:val="813"/>
    <w:link w:val="813"/>
    <w:pPr>
      <w:ind w:left="1701" w:right="0" w:firstLine="0"/>
      <w:spacing w:after="57"/>
    </w:pPr>
    <w:rPr>
      <w:rFonts w:ascii="Times New Roman" w:hAnsi="Times New Roman" w:eastAsia="宋体" w:cs="Times New Roman"/>
    </w:rPr>
  </w:style>
  <w:style w:type="paragraph" w:styleId="835">
    <w:name w:val="题注"/>
    <w:basedOn w:val="813"/>
    <w:next w:val="813"/>
    <w:link w:val="813"/>
    <w:pPr>
      <w:spacing w:line="276" w:lineRule="auto"/>
    </w:pPr>
    <w:rPr>
      <w:rFonts w:ascii="Times New Roman" w:hAnsi="Times New Roman" w:eastAsia="宋体" w:cs="Times New Roman"/>
      <w:b/>
      <w:bCs/>
      <w:color w:val="4f81bd"/>
      <w:sz w:val="18"/>
      <w:szCs w:val="18"/>
    </w:rPr>
  </w:style>
  <w:style w:type="paragraph" w:styleId="836">
    <w:name w:val="文档结构图"/>
    <w:basedOn w:val="813"/>
    <w:next w:val="836"/>
    <w:link w:val="837"/>
    <w:rPr>
      <w:rFonts w:ascii="宋体" w:hAnsi="Times New Roman" w:eastAsia="宋体" w:cs="Times New Roman"/>
      <w:sz w:val="18"/>
      <w:szCs w:val="18"/>
    </w:rPr>
  </w:style>
  <w:style w:type="character" w:styleId="837">
    <w:name w:val="文档结构图 字符"/>
    <w:basedOn w:val="823"/>
    <w:next w:val="837"/>
    <w:link w:val="836"/>
    <w:rPr>
      <w:rFonts w:ascii="宋体" w:hAnsi="Times New Roman" w:eastAsia="宋体" w:cs="Times New Roman"/>
      <w:sz w:val="18"/>
      <w:szCs w:val="18"/>
    </w:rPr>
  </w:style>
  <w:style w:type="paragraph" w:styleId="838">
    <w:name w:val="批注文字"/>
    <w:basedOn w:val="813"/>
    <w:next w:val="838"/>
    <w:link w:val="839"/>
    <w:pPr>
      <w:ind w:firstLine="922"/>
      <w:jc w:val="left"/>
      <w:spacing w:line="360" w:lineRule="auto"/>
    </w:pPr>
    <w:rPr>
      <w:rFonts w:ascii="Times New Roman" w:hAnsi="Times New Roman" w:eastAsia="宋体" w:cs="Times New Roman"/>
      <w:szCs w:val="24"/>
    </w:rPr>
  </w:style>
  <w:style w:type="character" w:styleId="839">
    <w:name w:val="批注文字 字符"/>
    <w:basedOn w:val="823"/>
    <w:next w:val="839"/>
    <w:link w:val="838"/>
    <w:rPr>
      <w:rFonts w:ascii="Times New Roman" w:hAnsi="Times New Roman" w:eastAsia="宋体" w:cs="Times New Roman"/>
      <w:szCs w:val="24"/>
    </w:rPr>
  </w:style>
  <w:style w:type="paragraph" w:styleId="840">
    <w:name w:val="正文文本"/>
    <w:basedOn w:val="813"/>
    <w:next w:val="840"/>
    <w:link w:val="841"/>
    <w:pPr>
      <w:spacing w:line="300" w:lineRule="auto"/>
    </w:pPr>
    <w:rPr>
      <w:rFonts w:ascii="宋体" w:hAnsi="Times New Roman" w:eastAsia="宋体" w:cs="Times New Roman"/>
      <w:sz w:val="24"/>
      <w:szCs w:val="20"/>
    </w:rPr>
  </w:style>
  <w:style w:type="character" w:styleId="841">
    <w:name w:val="正文文本 字符"/>
    <w:basedOn w:val="823"/>
    <w:next w:val="841"/>
    <w:link w:val="840"/>
    <w:rPr>
      <w:rFonts w:ascii="宋体" w:hAnsi="Times New Roman" w:eastAsia="宋体" w:cs="Times New Roman"/>
      <w:sz w:val="24"/>
      <w:szCs w:val="20"/>
    </w:rPr>
  </w:style>
  <w:style w:type="paragraph" w:styleId="842">
    <w:name w:val="正文文本缩进"/>
    <w:basedOn w:val="813"/>
    <w:next w:val="813"/>
    <w:link w:val="843"/>
    <w:pPr>
      <w:ind w:firstLine="225"/>
    </w:pPr>
    <w:rPr>
      <w:rFonts w:ascii="仿宋_GB2312" w:hAnsi="Times New Roman" w:eastAsia="仿宋_GB2312" w:cs="Times New Roman"/>
      <w:sz w:val="32"/>
    </w:rPr>
  </w:style>
  <w:style w:type="character" w:styleId="843">
    <w:name w:val="正文文本缩进 字符"/>
    <w:basedOn w:val="823"/>
    <w:next w:val="843"/>
    <w:link w:val="842"/>
    <w:rPr>
      <w:rFonts w:ascii="仿宋_GB2312" w:hAnsi="Times New Roman" w:eastAsia="仿宋_GB2312" w:cs="Times New Roman"/>
      <w:sz w:val="32"/>
      <w:szCs w:val="22"/>
    </w:rPr>
  </w:style>
  <w:style w:type="paragraph" w:styleId="844">
    <w:name w:val="文本块"/>
    <w:basedOn w:val="813"/>
    <w:next w:val="844"/>
    <w:link w:val="813"/>
    <w:pPr>
      <w:ind w:left="1440" w:right="1440"/>
      <w:spacing w:after="120"/>
    </w:pPr>
    <w:rPr>
      <w:rFonts w:ascii="Times New Roman" w:hAnsi="Times New Roman" w:eastAsia="宋体" w:cs="Times New Roman"/>
    </w:rPr>
  </w:style>
  <w:style w:type="paragraph" w:styleId="845">
    <w:name w:val="目录 5"/>
    <w:basedOn w:val="813"/>
    <w:next w:val="813"/>
    <w:link w:val="813"/>
    <w:pPr>
      <w:ind w:left="1134" w:right="0" w:firstLine="0"/>
      <w:spacing w:after="57"/>
    </w:pPr>
    <w:rPr>
      <w:rFonts w:ascii="Times New Roman" w:hAnsi="Times New Roman" w:eastAsia="宋体" w:cs="Times New Roman"/>
    </w:rPr>
  </w:style>
  <w:style w:type="paragraph" w:styleId="846">
    <w:name w:val="目录 3"/>
    <w:basedOn w:val="813"/>
    <w:next w:val="813"/>
    <w:link w:val="813"/>
    <w:pPr>
      <w:ind w:left="420" w:firstLine="922"/>
      <w:jc w:val="left"/>
      <w:spacing w:line="360" w:lineRule="auto"/>
    </w:pPr>
    <w:rPr>
      <w:rFonts w:ascii="Calibri" w:hAnsi="Calibri" w:eastAsia="宋体" w:cs="Times New Roman"/>
      <w:sz w:val="20"/>
      <w:szCs w:val="20"/>
    </w:rPr>
  </w:style>
  <w:style w:type="paragraph" w:styleId="847">
    <w:name w:val="纯文本"/>
    <w:basedOn w:val="813"/>
    <w:next w:val="847"/>
    <w:link w:val="848"/>
    <w:pPr>
      <w:ind w:firstLine="922"/>
      <w:spacing w:line="360" w:lineRule="auto"/>
    </w:pPr>
    <w:rPr>
      <w:rFonts w:ascii="宋体" w:hAnsi="Courier New" w:eastAsia="宋体" w:cs="Times New Roman"/>
    </w:rPr>
  </w:style>
  <w:style w:type="character" w:styleId="848">
    <w:name w:val="纯文本 字符"/>
    <w:next w:val="848"/>
    <w:link w:val="847"/>
    <w:rPr>
      <w:rFonts w:ascii="宋体" w:hAnsi="Courier New" w:eastAsia="宋体" w:cs="Times New Roman"/>
    </w:rPr>
  </w:style>
  <w:style w:type="paragraph" w:styleId="849">
    <w:name w:val="目录 8"/>
    <w:basedOn w:val="813"/>
    <w:next w:val="813"/>
    <w:link w:val="813"/>
    <w:pPr>
      <w:ind w:left="1984" w:right="0" w:firstLine="0"/>
      <w:spacing w:after="57"/>
    </w:pPr>
    <w:rPr>
      <w:rFonts w:ascii="Times New Roman" w:hAnsi="Times New Roman" w:eastAsia="宋体" w:cs="Times New Roman"/>
    </w:rPr>
  </w:style>
  <w:style w:type="paragraph" w:styleId="850">
    <w:name w:val="尾注文本"/>
    <w:basedOn w:val="813"/>
    <w:next w:val="850"/>
    <w:link w:val="851"/>
    <w:pPr>
      <w:spacing w:after="0" w:line="240" w:lineRule="auto"/>
    </w:pPr>
    <w:rPr>
      <w:rFonts w:ascii="Times New Roman" w:hAnsi="Times New Roman" w:eastAsia="宋体" w:cs="Times New Roman"/>
      <w:sz w:val="20"/>
    </w:rPr>
  </w:style>
  <w:style w:type="character" w:styleId="851">
    <w:name w:val="Endnote Text Char"/>
    <w:next w:val="851"/>
    <w:link w:val="850"/>
    <w:rPr>
      <w:rFonts w:ascii="Times New Roman" w:hAnsi="Times New Roman" w:eastAsia="宋体" w:cs="Times New Roman"/>
      <w:sz w:val="20"/>
    </w:rPr>
  </w:style>
  <w:style w:type="paragraph" w:styleId="852">
    <w:name w:val="批注框文本"/>
    <w:basedOn w:val="813"/>
    <w:next w:val="852"/>
    <w:link w:val="853"/>
    <w:pPr>
      <w:ind w:firstLine="922"/>
    </w:pPr>
    <w:rPr>
      <w:rFonts w:ascii="Times New Roman" w:hAnsi="Times New Roman" w:eastAsia="宋体" w:cs="Times New Roman"/>
      <w:sz w:val="18"/>
      <w:szCs w:val="18"/>
    </w:rPr>
  </w:style>
  <w:style w:type="character" w:styleId="853">
    <w:name w:val="批注框文本 字符"/>
    <w:basedOn w:val="823"/>
    <w:next w:val="853"/>
    <w:link w:val="852"/>
    <w:rPr>
      <w:rFonts w:ascii="Times New Roman" w:hAnsi="Times New Roman" w:eastAsia="宋体" w:cs="Times New Roman"/>
      <w:sz w:val="18"/>
      <w:szCs w:val="18"/>
    </w:rPr>
  </w:style>
  <w:style w:type="paragraph" w:styleId="854">
    <w:name w:val="页脚"/>
    <w:basedOn w:val="813"/>
    <w:next w:val="854"/>
    <w:link w:val="855"/>
    <w:pPr>
      <w:jc w:val="left"/>
      <w:tabs>
        <w:tab w:val="center" w:pos="4153" w:leader="none"/>
        <w:tab w:val="right" w:pos="8306" w:leader="none"/>
      </w:tabs>
    </w:pPr>
    <w:rPr>
      <w:rFonts w:ascii="Times New Roman" w:hAnsi="Times New Roman" w:eastAsia="宋体" w:cs="Times New Roman"/>
      <w:sz w:val="18"/>
    </w:rPr>
  </w:style>
  <w:style w:type="character" w:styleId="855">
    <w:name w:val="页脚 字符"/>
    <w:basedOn w:val="823"/>
    <w:next w:val="855"/>
    <w:link w:val="854"/>
    <w:rPr>
      <w:rFonts w:ascii="Times New Roman" w:hAnsi="Times New Roman" w:eastAsia="宋体" w:cs="Times New Roman"/>
      <w:sz w:val="18"/>
      <w:szCs w:val="22"/>
    </w:rPr>
  </w:style>
  <w:style w:type="paragraph" w:styleId="856">
    <w:name w:val="页眉"/>
    <w:basedOn w:val="813"/>
    <w:next w:val="856"/>
    <w:link w:val="857"/>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eastAsia="宋体" w:cs="Times New Roman"/>
      <w:sz w:val="18"/>
    </w:rPr>
  </w:style>
  <w:style w:type="character" w:styleId="857">
    <w:name w:val="页眉 字符"/>
    <w:basedOn w:val="823"/>
    <w:next w:val="857"/>
    <w:link w:val="856"/>
    <w:rPr>
      <w:rFonts w:ascii="Times New Roman" w:hAnsi="Times New Roman" w:eastAsia="宋体" w:cs="Times New Roman"/>
      <w:sz w:val="18"/>
      <w:szCs w:val="22"/>
    </w:rPr>
  </w:style>
  <w:style w:type="paragraph" w:styleId="858">
    <w:name w:val="目录 1"/>
    <w:basedOn w:val="813"/>
    <w:next w:val="813"/>
    <w:link w:val="813"/>
    <w:pPr>
      <w:ind w:firstLine="922"/>
      <w:jc w:val="left"/>
      <w:spacing w:before="120" w:line="360" w:lineRule="auto"/>
    </w:pPr>
    <w:rPr>
      <w:rFonts w:ascii="Calibri" w:hAnsi="Calibri" w:eastAsia="宋体" w:cs="Times New Roman"/>
      <w:b/>
      <w:bCs/>
      <w:i/>
      <w:iCs/>
      <w:sz w:val="24"/>
      <w:szCs w:val="24"/>
    </w:rPr>
  </w:style>
  <w:style w:type="paragraph" w:styleId="859">
    <w:name w:val="目录 4"/>
    <w:basedOn w:val="813"/>
    <w:next w:val="813"/>
    <w:link w:val="813"/>
    <w:pPr>
      <w:ind w:left="850" w:right="0" w:firstLine="0"/>
      <w:spacing w:after="57"/>
    </w:pPr>
    <w:rPr>
      <w:rFonts w:ascii="Times New Roman" w:hAnsi="Times New Roman" w:eastAsia="宋体" w:cs="Times New Roman"/>
    </w:rPr>
  </w:style>
  <w:style w:type="paragraph" w:styleId="860">
    <w:name w:val="副标题"/>
    <w:basedOn w:val="813"/>
    <w:next w:val="813"/>
    <w:link w:val="861"/>
    <w:pPr>
      <w:ind w:firstLine="922"/>
      <w:jc w:val="center"/>
      <w:spacing w:before="240" w:after="60" w:line="312" w:lineRule="auto"/>
      <w:outlineLvl w:val="1"/>
    </w:pPr>
    <w:rPr>
      <w:rFonts w:ascii="Cambria" w:hAnsi="Cambria" w:eastAsia="宋体" w:cs="Times New Roman"/>
      <w:b/>
      <w:bCs/>
      <w:sz w:val="32"/>
      <w:szCs w:val="32"/>
    </w:rPr>
  </w:style>
  <w:style w:type="character" w:styleId="861">
    <w:name w:val="副标题 字符"/>
    <w:next w:val="861"/>
    <w:link w:val="860"/>
    <w:rPr>
      <w:rFonts w:ascii="Cambria" w:hAnsi="Cambria" w:eastAsia="宋体" w:cs="Times New Roman"/>
      <w:b/>
      <w:bCs/>
      <w:sz w:val="32"/>
      <w:szCs w:val="32"/>
    </w:rPr>
  </w:style>
  <w:style w:type="paragraph" w:styleId="862">
    <w:name w:val="脚注文本"/>
    <w:basedOn w:val="813"/>
    <w:next w:val="862"/>
    <w:link w:val="863"/>
    <w:pPr>
      <w:spacing w:after="40" w:line="240" w:lineRule="auto"/>
    </w:pPr>
    <w:rPr>
      <w:rFonts w:ascii="Times New Roman" w:hAnsi="Times New Roman" w:eastAsia="宋体" w:cs="Times New Roman"/>
      <w:sz w:val="18"/>
    </w:rPr>
  </w:style>
  <w:style w:type="character" w:styleId="863">
    <w:name w:val="Footnote Text Char"/>
    <w:next w:val="863"/>
    <w:link w:val="862"/>
    <w:rPr>
      <w:rFonts w:ascii="Times New Roman" w:hAnsi="Times New Roman" w:eastAsia="宋体" w:cs="Times New Roman"/>
      <w:sz w:val="18"/>
    </w:rPr>
  </w:style>
  <w:style w:type="paragraph" w:styleId="864">
    <w:name w:val="目录 6"/>
    <w:basedOn w:val="813"/>
    <w:next w:val="813"/>
    <w:link w:val="813"/>
    <w:pPr>
      <w:ind w:left="1417" w:right="0" w:firstLine="0"/>
      <w:spacing w:after="57"/>
    </w:pPr>
    <w:rPr>
      <w:rFonts w:ascii="Times New Roman" w:hAnsi="Times New Roman" w:eastAsia="宋体" w:cs="Times New Roman"/>
    </w:rPr>
  </w:style>
  <w:style w:type="paragraph" w:styleId="865">
    <w:name w:val="图表目录"/>
    <w:basedOn w:val="813"/>
    <w:next w:val="813"/>
    <w:link w:val="813"/>
    <w:pPr>
      <w:spacing w:after="0" w:afterAutospacing="0"/>
    </w:pPr>
    <w:rPr>
      <w:rFonts w:ascii="Times New Roman" w:hAnsi="Times New Roman" w:eastAsia="宋体" w:cs="Times New Roman"/>
    </w:rPr>
  </w:style>
  <w:style w:type="paragraph" w:styleId="866">
    <w:name w:val="目录 2"/>
    <w:basedOn w:val="813"/>
    <w:next w:val="813"/>
    <w:link w:val="813"/>
    <w:pPr>
      <w:ind w:left="210" w:firstLine="922"/>
      <w:jc w:val="left"/>
      <w:spacing w:before="120" w:line="360" w:lineRule="auto"/>
    </w:pPr>
    <w:rPr>
      <w:rFonts w:ascii="Calibri" w:hAnsi="Calibri" w:eastAsia="宋体" w:cs="Times New Roman"/>
      <w:b/>
      <w:bCs/>
      <w:sz w:val="22"/>
    </w:rPr>
  </w:style>
  <w:style w:type="paragraph" w:styleId="867">
    <w:name w:val="目录 9"/>
    <w:basedOn w:val="813"/>
    <w:next w:val="813"/>
    <w:link w:val="813"/>
    <w:pPr>
      <w:ind w:left="2268" w:right="0" w:firstLine="0"/>
      <w:spacing w:after="57"/>
    </w:pPr>
    <w:rPr>
      <w:rFonts w:ascii="Times New Roman" w:hAnsi="Times New Roman" w:eastAsia="宋体" w:cs="Times New Roman"/>
    </w:rPr>
  </w:style>
  <w:style w:type="paragraph" w:styleId="868">
    <w:name w:val="正文文本 2"/>
    <w:basedOn w:val="813"/>
    <w:next w:val="868"/>
    <w:link w:val="813"/>
    <w:pPr>
      <w:spacing w:after="120" w:line="480" w:lineRule="auto"/>
    </w:pPr>
    <w:rPr>
      <w:rFonts w:ascii="Times New Roman" w:hAnsi="Times New Roman" w:eastAsia="宋体" w:cs="Times New Roman"/>
    </w:rPr>
  </w:style>
  <w:style w:type="paragraph" w:styleId="869">
    <w:name w:val="HTML 预设格式"/>
    <w:basedOn w:val="813"/>
    <w:next w:val="869"/>
    <w:link w:val="870"/>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character" w:styleId="870">
    <w:name w:val="HTML 预设格式 字符"/>
    <w:next w:val="870"/>
    <w:link w:val="869"/>
    <w:rPr>
      <w:rFonts w:ascii="宋体" w:hAnsi="宋体" w:eastAsia="宋体" w:cs="宋体"/>
      <w:sz w:val="24"/>
      <w:szCs w:val="24"/>
    </w:rPr>
  </w:style>
  <w:style w:type="paragraph" w:styleId="871">
    <w:name w:val="普通(网站)"/>
    <w:next w:val="871"/>
    <w:link w:val="813"/>
    <w:pPr>
      <w:jc w:val="left"/>
      <w:spacing w:before="100" w:beforeAutospacing="1" w:after="100" w:afterAutospacing="1"/>
      <w:widowControl w:val="off"/>
    </w:pPr>
    <w:rPr>
      <w:rFonts w:ascii="Times New Roman" w:hAnsi="Times New Roman" w:eastAsia="宋体" w:cs="Times New Roman"/>
      <w:sz w:val="24"/>
      <w:szCs w:val="20"/>
      <w:lang w:val="en-US" w:eastAsia="zh-CN" w:bidi="ar-SA"/>
    </w:rPr>
  </w:style>
  <w:style w:type="paragraph" w:styleId="872">
    <w:name w:val="索引 1"/>
    <w:basedOn w:val="813"/>
    <w:next w:val="813"/>
    <w:link w:val="813"/>
    <w:pPr>
      <w:ind w:firstLine="200"/>
      <w:spacing w:line="360" w:lineRule="auto"/>
    </w:pPr>
    <w:rPr>
      <w:rFonts w:ascii="Times New Roman" w:hAnsi="Times New Roman" w:eastAsia="宋体" w:cs="Times New Roman"/>
      <w:szCs w:val="24"/>
    </w:rPr>
  </w:style>
  <w:style w:type="paragraph" w:styleId="873">
    <w:name w:val="标题"/>
    <w:basedOn w:val="813"/>
    <w:next w:val="813"/>
    <w:link w:val="874"/>
    <w:pPr>
      <w:contextualSpacing/>
      <w:spacing w:before="300" w:after="200"/>
    </w:pPr>
    <w:rPr>
      <w:rFonts w:ascii="Times New Roman" w:hAnsi="Times New Roman" w:eastAsia="宋体" w:cs="Times New Roman"/>
      <w:sz w:val="48"/>
      <w:szCs w:val="48"/>
    </w:rPr>
  </w:style>
  <w:style w:type="character" w:styleId="874">
    <w:name w:val="Title Char"/>
    <w:basedOn w:val="823"/>
    <w:next w:val="874"/>
    <w:link w:val="873"/>
    <w:rPr>
      <w:rFonts w:ascii="Times New Roman" w:hAnsi="Times New Roman" w:eastAsia="宋体" w:cs="Times New Roman"/>
      <w:sz w:val="48"/>
      <w:szCs w:val="48"/>
    </w:rPr>
  </w:style>
  <w:style w:type="paragraph" w:styleId="875">
    <w:name w:val="批注主题"/>
    <w:basedOn w:val="838"/>
    <w:next w:val="838"/>
    <w:link w:val="876"/>
    <w:pPr>
      <w:ind w:firstLine="0"/>
      <w:spacing w:line="240" w:lineRule="auto"/>
    </w:pPr>
    <w:rPr>
      <w:rFonts w:ascii="Calibri" w:hAnsi="Calibri" w:eastAsia="Arial" w:cs="Times New Roman"/>
      <w:b/>
      <w:bCs/>
      <w:szCs w:val="22"/>
    </w:rPr>
  </w:style>
  <w:style w:type="character" w:styleId="876">
    <w:name w:val="批注主题 字符"/>
    <w:basedOn w:val="839"/>
    <w:next w:val="876"/>
    <w:link w:val="875"/>
    <w:rPr>
      <w:rFonts w:ascii="Times New Roman" w:hAnsi="Times New Roman" w:eastAsia="宋体" w:cs="Times New Roman"/>
      <w:b/>
      <w:bCs/>
      <w:szCs w:val="24"/>
    </w:rPr>
  </w:style>
  <w:style w:type="paragraph" w:styleId="877">
    <w:name w:val="正文首行缩进"/>
    <w:basedOn w:val="840"/>
    <w:next w:val="877"/>
    <w:link w:val="878"/>
    <w:pPr>
      <w:ind w:firstLine="420"/>
      <w:spacing w:after="120"/>
    </w:pPr>
    <w:rPr>
      <w:rFonts w:ascii="Times New Roman" w:hAnsi="Times New Roman" w:eastAsia="宋体" w:cs="Times New Roman"/>
      <w:sz w:val="21"/>
      <w:szCs w:val="24"/>
    </w:rPr>
  </w:style>
  <w:style w:type="character" w:styleId="878">
    <w:name w:val="正文文本首行缩进 字符"/>
    <w:basedOn w:val="841"/>
    <w:next w:val="878"/>
    <w:link w:val="877"/>
    <w:rPr>
      <w:rFonts w:ascii="Times New Roman" w:hAnsi="Times New Roman" w:eastAsia="宋体" w:cs="Times New Roman"/>
      <w:sz w:val="21"/>
      <w:szCs w:val="24"/>
    </w:rPr>
  </w:style>
  <w:style w:type="paragraph" w:styleId="879">
    <w:name w:val="正文首行缩进 2"/>
    <w:basedOn w:val="842"/>
    <w:next w:val="880"/>
    <w:link w:val="813"/>
    <w:pPr>
      <w:ind w:firstLine="420"/>
      <w:tabs>
        <w:tab w:val="left" w:pos="0" w:leader="none"/>
        <w:tab w:val="left" w:pos="993" w:leader="none"/>
        <w:tab w:val="left" w:pos="1134" w:leader="none"/>
        <w:tab w:val="left" w:pos="4606" w:leader="none"/>
      </w:tabs>
    </w:pPr>
    <w:rPr>
      <w:rFonts w:ascii="Times New Roman" w:hAnsi="Times New Roman" w:eastAsia="宋体" w:cs="Times New Roman"/>
    </w:rPr>
  </w:style>
  <w:style w:type="paragraph" w:styleId="880">
    <w:name w:val="样式 正文首行缩进 2 + Arial"/>
    <w:next w:val="813"/>
    <w:link w:val="813"/>
    <w:pPr>
      <w:ind w:firstLine="200"/>
      <w:jc w:val="both"/>
      <w:spacing w:after="120" w:line="320" w:lineRule="atLeast"/>
      <w:widowControl w:val="off"/>
    </w:pPr>
    <w:rPr>
      <w:rFonts w:ascii="Arial" w:hAnsi="Arial" w:eastAsia="宋体" w:cs="Times New Roman"/>
      <w:sz w:val="21"/>
      <w:lang w:val="en-US" w:eastAsia="zh-CN" w:bidi="ar-SA"/>
    </w:rPr>
  </w:style>
  <w:style w:type="table" w:styleId="881">
    <w:name w:val="网格型"/>
    <w:basedOn w:val="824"/>
    <w:next w:val="881"/>
    <w:link w:val="813"/>
    <w:rPr>
      <w:rFonts w:ascii="Times New Roman" w:hAnsi="Times New Roman" w:eastAsia="宋体" w:cs="Times New Roman"/>
    </w:rPr>
    <w:tblPr/>
  </w:style>
  <w:style w:type="character" w:styleId="882">
    <w:name w:val="要点"/>
    <w:next w:val="882"/>
    <w:link w:val="813"/>
    <w:rPr>
      <w:rFonts w:ascii="Times New Roman" w:hAnsi="Times New Roman" w:eastAsia="宋体" w:cs="Times New Roman"/>
      <w:b/>
      <w:bCs/>
    </w:rPr>
  </w:style>
  <w:style w:type="character" w:styleId="883">
    <w:name w:val="尾注引用"/>
    <w:basedOn w:val="823"/>
    <w:next w:val="883"/>
    <w:link w:val="813"/>
    <w:rPr>
      <w:rFonts w:ascii="Times New Roman" w:hAnsi="Times New Roman" w:eastAsia="宋体" w:cs="Times New Roman"/>
      <w:vertAlign w:val="superscript"/>
    </w:rPr>
  </w:style>
  <w:style w:type="character" w:styleId="884">
    <w:name w:val="已访问的超链接"/>
    <w:basedOn w:val="823"/>
    <w:next w:val="884"/>
    <w:link w:val="813"/>
    <w:rPr>
      <w:rFonts w:ascii="Times New Roman" w:hAnsi="Times New Roman" w:eastAsia="宋体" w:cs="Times New Roman"/>
      <w:color w:val="800080"/>
      <w:u w:val="none"/>
    </w:rPr>
  </w:style>
  <w:style w:type="character" w:styleId="885">
    <w:name w:val="强调"/>
    <w:basedOn w:val="823"/>
    <w:next w:val="885"/>
    <w:link w:val="813"/>
    <w:rPr>
      <w:rFonts w:ascii="Times New Roman" w:hAnsi="Times New Roman" w:eastAsia="宋体" w:cs="Times New Roman"/>
      <w:b/>
      <w:bCs/>
    </w:rPr>
  </w:style>
  <w:style w:type="character" w:styleId="886">
    <w:name w:val="HTML 定义"/>
    <w:basedOn w:val="823"/>
    <w:next w:val="886"/>
    <w:link w:val="813"/>
    <w:rPr>
      <w:rFonts w:ascii="Times New Roman" w:hAnsi="Times New Roman" w:eastAsia="宋体" w:cs="Times New Roman"/>
    </w:rPr>
  </w:style>
  <w:style w:type="character" w:styleId="887">
    <w:name w:val="HTML 打字机"/>
    <w:basedOn w:val="823"/>
    <w:next w:val="887"/>
    <w:link w:val="813"/>
    <w:rPr>
      <w:rFonts w:ascii="monospace" w:hAnsi="monospace" w:eastAsia="monospace" w:cs="monospace"/>
      <w:sz w:val="20"/>
    </w:rPr>
  </w:style>
  <w:style w:type="character" w:styleId="888">
    <w:name w:val="HTML 缩写"/>
    <w:basedOn w:val="823"/>
    <w:next w:val="888"/>
    <w:link w:val="813"/>
    <w:rPr>
      <w:rFonts w:ascii="Times New Roman" w:hAnsi="Times New Roman" w:eastAsia="宋体" w:cs="Times New Roman"/>
    </w:rPr>
  </w:style>
  <w:style w:type="character" w:styleId="889">
    <w:name w:val="HTML 变量"/>
    <w:basedOn w:val="823"/>
    <w:next w:val="889"/>
    <w:link w:val="813"/>
    <w:rPr>
      <w:rFonts w:ascii="Times New Roman" w:hAnsi="Times New Roman" w:eastAsia="宋体" w:cs="Times New Roman"/>
    </w:rPr>
  </w:style>
  <w:style w:type="character" w:styleId="890">
    <w:name w:val="超链接"/>
    <w:basedOn w:val="823"/>
    <w:next w:val="890"/>
    <w:link w:val="813"/>
    <w:rPr>
      <w:rFonts w:ascii="Times New Roman" w:hAnsi="Times New Roman" w:eastAsia="宋体" w:cs="Times New Roman"/>
      <w:color w:val="0000ff"/>
      <w:u w:val="none"/>
    </w:rPr>
  </w:style>
  <w:style w:type="character" w:styleId="891">
    <w:name w:val="HTML 代码"/>
    <w:basedOn w:val="823"/>
    <w:next w:val="891"/>
    <w:link w:val="813"/>
    <w:rPr>
      <w:rFonts w:ascii="monospace" w:hAnsi="monospace" w:eastAsia="monospace" w:cs="monospace"/>
      <w:sz w:val="20"/>
    </w:rPr>
  </w:style>
  <w:style w:type="character" w:styleId="892">
    <w:name w:val="批注引用"/>
    <w:next w:val="892"/>
    <w:link w:val="813"/>
    <w:rPr>
      <w:rFonts w:ascii="Times New Roman" w:hAnsi="Times New Roman" w:eastAsia="宋体" w:cs="Times New Roman"/>
      <w:sz w:val="21"/>
      <w:szCs w:val="21"/>
    </w:rPr>
  </w:style>
  <w:style w:type="character" w:styleId="893">
    <w:name w:val="HTML 引文"/>
    <w:basedOn w:val="823"/>
    <w:next w:val="893"/>
    <w:link w:val="813"/>
    <w:rPr>
      <w:rFonts w:ascii="Times New Roman" w:hAnsi="Times New Roman" w:eastAsia="宋体" w:cs="Times New Roman"/>
    </w:rPr>
  </w:style>
  <w:style w:type="character" w:styleId="894">
    <w:name w:val="脚注引用"/>
    <w:basedOn w:val="823"/>
    <w:next w:val="894"/>
    <w:link w:val="813"/>
    <w:rPr>
      <w:rFonts w:ascii="Times New Roman" w:hAnsi="Times New Roman" w:eastAsia="宋体" w:cs="Times New Roman"/>
      <w:vertAlign w:val="superscript"/>
    </w:rPr>
  </w:style>
  <w:style w:type="character" w:styleId="895">
    <w:name w:val="HTML 键盘"/>
    <w:basedOn w:val="823"/>
    <w:next w:val="895"/>
    <w:link w:val="813"/>
    <w:rPr>
      <w:rFonts w:ascii="monospace" w:hAnsi="monospace" w:eastAsia="monospace" w:cs="monospace"/>
      <w:sz w:val="20"/>
    </w:rPr>
  </w:style>
  <w:style w:type="character" w:styleId="896">
    <w:name w:val="HTML 样本"/>
    <w:basedOn w:val="823"/>
    <w:next w:val="896"/>
    <w:link w:val="813"/>
    <w:rPr>
      <w:rFonts w:ascii="monospace" w:hAnsi="monospace" w:eastAsia="monospace" w:cs="monospace"/>
    </w:rPr>
  </w:style>
  <w:style w:type="paragraph" w:styleId="897">
    <w:name w:val="正文缩进1"/>
    <w:basedOn w:val="813"/>
    <w:next w:val="897"/>
    <w:link w:val="813"/>
    <w:qFormat/>
    <w:pPr>
      <w:ind w:firstLine="420"/>
    </w:pPr>
    <w:rPr>
      <w:rFonts w:ascii="Times New Roman" w:hAnsi="Times New Roman"/>
      <w:szCs w:val="20"/>
    </w:rPr>
  </w:style>
  <w:style w:type="paragraph" w:styleId="898">
    <w:name w:val="Default"/>
    <w:next w:val="898"/>
    <w:link w:val="899"/>
    <w:pPr>
      <w:widowControl w:val="off"/>
    </w:pPr>
    <w:rPr>
      <w:rFonts w:ascii="MS Mincho" w:hAnsi="Calibri" w:eastAsia="宋体" w:cs="Times New Roman"/>
      <w:color w:val="000000"/>
      <w:sz w:val="21"/>
      <w:szCs w:val="24"/>
      <w:lang w:val="en-US" w:eastAsia="zh-CN" w:bidi="ar-SA"/>
    </w:rPr>
  </w:style>
  <w:style w:type="character" w:styleId="899">
    <w:name w:val="Default Char"/>
    <w:next w:val="899"/>
    <w:link w:val="898"/>
    <w:rPr>
      <w:rFonts w:ascii="MS Mincho" w:hAnsi="Calibri" w:eastAsia="宋体" w:cs="Times New Roman"/>
      <w:color w:val="000000"/>
      <w:szCs w:val="24"/>
    </w:rPr>
  </w:style>
  <w:style w:type="paragraph" w:styleId="900">
    <w:name w:val="Table Paragraph"/>
    <w:basedOn w:val="813"/>
    <w:next w:val="900"/>
    <w:link w:val="813"/>
    <w:rPr>
      <w:rFonts w:ascii="宋体" w:hAnsi="宋体" w:eastAsia="宋体" w:cs="宋体"/>
      <w:lang w:val="zh-CN" w:bidi="zh-CN"/>
    </w:rPr>
  </w:style>
  <w:style w:type="paragraph" w:styleId="901">
    <w:name w:val="首行缩进"/>
    <w:next w:val="901"/>
    <w:link w:val="813"/>
    <w:pPr>
      <w:ind w:firstLine="480"/>
      <w:jc w:val="both"/>
      <w:widowControl w:val="off"/>
    </w:pPr>
    <w:rPr>
      <w:rFonts w:ascii="Times New Roman" w:hAnsi="Times New Roman" w:eastAsia="宋体" w:cs="Times New Roman"/>
      <w:sz w:val="21"/>
      <w:szCs w:val="24"/>
      <w:lang w:val="zh-CN" w:eastAsia="zh-CN" w:bidi="ar-SA"/>
    </w:rPr>
  </w:style>
  <w:style w:type="paragraph" w:styleId="902">
    <w:name w:val="正文_0"/>
    <w:next w:val="879"/>
    <w:link w:val="813"/>
    <w:pPr>
      <w:jc w:val="both"/>
      <w:widowControl w:val="off"/>
    </w:pPr>
    <w:rPr>
      <w:rFonts w:ascii="Times New Roman" w:hAnsi="Times New Roman" w:eastAsia="仿宋_GB2312" w:cs="Times New Roman"/>
      <w:sz w:val="21"/>
      <w:szCs w:val="22"/>
      <w:lang w:val="en-US" w:eastAsia="zh-CN" w:bidi="ar-SA"/>
    </w:rPr>
  </w:style>
  <w:style w:type="paragraph" w:styleId="903">
    <w:name w:val="正文_1"/>
    <w:next w:val="879"/>
    <w:link w:val="813"/>
    <w:pPr>
      <w:jc w:val="both"/>
      <w:widowControl w:val="off"/>
    </w:pPr>
    <w:rPr>
      <w:rFonts w:ascii="Times New Roman" w:hAnsi="Times New Roman" w:eastAsia="仿宋_GB2312" w:cs="Times New Roman"/>
      <w:sz w:val="21"/>
      <w:szCs w:val="22"/>
      <w:lang w:val="en-US" w:eastAsia="zh-CN" w:bidi="ar-SA"/>
    </w:rPr>
  </w:style>
  <w:style w:type="paragraph" w:styleId="904">
    <w:name w:val="标题 3_0"/>
    <w:basedOn w:val="902"/>
    <w:next w:val="903"/>
    <w:link w:val="813"/>
    <w:pPr>
      <w:keepLines/>
      <w:keepNext/>
      <w:spacing w:before="260" w:after="260" w:line="416" w:lineRule="auto"/>
      <w:outlineLvl w:val="2"/>
    </w:pPr>
    <w:rPr>
      <w:rFonts w:ascii="Calibri" w:hAnsi="Calibri" w:eastAsia="宋体" w:cs="Times New Roman"/>
      <w:b/>
      <w:bCs/>
      <w:sz w:val="32"/>
      <w:szCs w:val="32"/>
    </w:rPr>
  </w:style>
  <w:style w:type="paragraph" w:styleId="905">
    <w:name w:val="样式 标题 3 + (中文) 黑体 小四 非加粗 段前: 7.8 磅 段后: 0 磅 行距: 固定值 20 磅_0"/>
    <w:basedOn w:val="904"/>
    <w:next w:val="905"/>
    <w:link w:val="813"/>
    <w:pPr>
      <w:spacing w:before="0" w:after="0" w:line="400" w:lineRule="exact"/>
    </w:pPr>
    <w:rPr>
      <w:rFonts w:ascii="Times New Roman" w:hAnsi="Times New Roman" w:eastAsia="黑体" w:cs="宋体"/>
      <w:b w:val="0"/>
      <w:bCs w:val="0"/>
      <w:sz w:val="21"/>
      <w:szCs w:val="20"/>
    </w:rPr>
  </w:style>
  <w:style w:type="character" w:styleId="906">
    <w:name w:val="Heading 1 Char"/>
    <w:basedOn w:val="823"/>
    <w:next w:val="906"/>
    <w:link w:val="813"/>
    <w:rPr>
      <w:rFonts w:ascii="Arial" w:hAnsi="Arial" w:eastAsia="Arial" w:cs="Arial"/>
      <w:sz w:val="40"/>
      <w:szCs w:val="40"/>
    </w:rPr>
  </w:style>
  <w:style w:type="character" w:styleId="907">
    <w:name w:val="Heading 2 Char"/>
    <w:basedOn w:val="823"/>
    <w:next w:val="907"/>
    <w:link w:val="813"/>
    <w:rPr>
      <w:rFonts w:ascii="Arial" w:hAnsi="Arial" w:eastAsia="Arial" w:cs="Arial"/>
      <w:sz w:val="34"/>
    </w:rPr>
  </w:style>
  <w:style w:type="character" w:styleId="908">
    <w:name w:val="Heading 3 Char"/>
    <w:basedOn w:val="823"/>
    <w:next w:val="908"/>
    <w:link w:val="813"/>
    <w:rPr>
      <w:rFonts w:ascii="Arial" w:hAnsi="Arial" w:eastAsia="Arial" w:cs="Arial"/>
      <w:sz w:val="30"/>
      <w:szCs w:val="30"/>
    </w:rPr>
  </w:style>
  <w:style w:type="character" w:styleId="909">
    <w:name w:val="Heading 4 Char"/>
    <w:basedOn w:val="823"/>
    <w:next w:val="909"/>
    <w:link w:val="813"/>
    <w:rPr>
      <w:rFonts w:ascii="Arial" w:hAnsi="Arial" w:eastAsia="Arial" w:cs="Arial"/>
      <w:b/>
      <w:bCs/>
      <w:sz w:val="26"/>
      <w:szCs w:val="26"/>
    </w:rPr>
  </w:style>
  <w:style w:type="character" w:styleId="910">
    <w:name w:val="Heading 5 Char"/>
    <w:basedOn w:val="823"/>
    <w:next w:val="910"/>
    <w:link w:val="813"/>
    <w:rPr>
      <w:rFonts w:ascii="Arial" w:hAnsi="Arial" w:eastAsia="Arial" w:cs="Arial"/>
      <w:b/>
      <w:bCs/>
      <w:sz w:val="24"/>
      <w:szCs w:val="24"/>
    </w:rPr>
  </w:style>
  <w:style w:type="character" w:styleId="911">
    <w:name w:val="Heading 6 Char"/>
    <w:basedOn w:val="823"/>
    <w:next w:val="911"/>
    <w:link w:val="813"/>
    <w:rPr>
      <w:rFonts w:ascii="Arial" w:hAnsi="Arial" w:eastAsia="Arial" w:cs="Arial"/>
      <w:b/>
      <w:bCs/>
      <w:sz w:val="22"/>
      <w:szCs w:val="22"/>
    </w:rPr>
  </w:style>
  <w:style w:type="character" w:styleId="912">
    <w:name w:val="Heading 7 Char"/>
    <w:basedOn w:val="823"/>
    <w:next w:val="912"/>
    <w:link w:val="813"/>
    <w:rPr>
      <w:rFonts w:ascii="Arial" w:hAnsi="Arial" w:eastAsia="Arial" w:cs="Arial"/>
      <w:b/>
      <w:bCs/>
      <w:i/>
      <w:iCs/>
      <w:sz w:val="22"/>
      <w:szCs w:val="22"/>
    </w:rPr>
  </w:style>
  <w:style w:type="character" w:styleId="913">
    <w:name w:val="Heading 8 Char"/>
    <w:basedOn w:val="823"/>
    <w:next w:val="913"/>
    <w:link w:val="813"/>
    <w:rPr>
      <w:rFonts w:ascii="Arial" w:hAnsi="Arial" w:eastAsia="Arial" w:cs="Arial"/>
      <w:i/>
      <w:iCs/>
      <w:sz w:val="22"/>
      <w:szCs w:val="22"/>
    </w:rPr>
  </w:style>
  <w:style w:type="character" w:styleId="914">
    <w:name w:val="Heading 9 Char"/>
    <w:basedOn w:val="823"/>
    <w:next w:val="914"/>
    <w:link w:val="813"/>
    <w:rPr>
      <w:rFonts w:ascii="Arial" w:hAnsi="Arial" w:eastAsia="Arial" w:cs="Arial"/>
      <w:i/>
      <w:iCs/>
      <w:sz w:val="21"/>
      <w:szCs w:val="21"/>
    </w:rPr>
  </w:style>
  <w:style w:type="paragraph" w:styleId="915">
    <w:name w:val="No Spacing"/>
    <w:next w:val="915"/>
    <w:link w:val="813"/>
    <w:pPr>
      <w:spacing w:before="0" w:after="0" w:line="240" w:lineRule="auto"/>
    </w:pPr>
    <w:rPr>
      <w:rFonts w:ascii="Times New Roman" w:hAnsi="Times New Roman" w:eastAsia="宋体" w:cs="Times New Roman"/>
    </w:rPr>
  </w:style>
  <w:style w:type="character" w:styleId="916">
    <w:name w:val="Subtitle Char"/>
    <w:basedOn w:val="823"/>
    <w:next w:val="916"/>
    <w:link w:val="813"/>
    <w:rPr>
      <w:rFonts w:ascii="Times New Roman" w:hAnsi="Times New Roman" w:eastAsia="宋体" w:cs="Times New Roman"/>
      <w:sz w:val="24"/>
      <w:szCs w:val="24"/>
    </w:rPr>
  </w:style>
  <w:style w:type="character" w:styleId="917">
    <w:name w:val="Quote Char"/>
    <w:next w:val="917"/>
    <w:link w:val="918"/>
    <w:rPr>
      <w:rFonts w:ascii="Times New Roman" w:hAnsi="Times New Roman" w:eastAsia="宋体" w:cs="Times New Roman"/>
      <w:i/>
    </w:rPr>
  </w:style>
  <w:style w:type="paragraph" w:styleId="918">
    <w:name w:val="引用"/>
    <w:basedOn w:val="813"/>
    <w:next w:val="813"/>
    <w:link w:val="917"/>
    <w:pPr>
      <w:ind w:left="720" w:right="720"/>
    </w:pPr>
    <w:rPr>
      <w:rFonts w:ascii="Times New Roman" w:hAnsi="Times New Roman" w:eastAsia="宋体" w:cs="Times New Roman"/>
      <w:i/>
    </w:rPr>
  </w:style>
  <w:style w:type="character" w:styleId="919">
    <w:name w:val="Intense Quote Char"/>
    <w:next w:val="919"/>
    <w:link w:val="920"/>
    <w:rPr>
      <w:rFonts w:ascii="Times New Roman" w:hAnsi="Times New Roman" w:eastAsia="宋体" w:cs="Times New Roman"/>
      <w:i/>
    </w:rPr>
  </w:style>
  <w:style w:type="paragraph" w:styleId="920">
    <w:name w:val="明显引用"/>
    <w:basedOn w:val="813"/>
    <w:next w:val="813"/>
    <w:link w:val="919"/>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21">
    <w:name w:val="Header Char"/>
    <w:basedOn w:val="823"/>
    <w:next w:val="921"/>
    <w:link w:val="813"/>
    <w:rPr>
      <w:rFonts w:ascii="Times New Roman" w:hAnsi="Times New Roman" w:eastAsia="宋体" w:cs="Times New Roman"/>
    </w:rPr>
  </w:style>
  <w:style w:type="character" w:styleId="922">
    <w:name w:val="Footer Char"/>
    <w:basedOn w:val="823"/>
    <w:next w:val="922"/>
    <w:link w:val="813"/>
    <w:rPr>
      <w:rFonts w:ascii="Times New Roman" w:hAnsi="Times New Roman" w:eastAsia="宋体" w:cs="Times New Roman"/>
    </w:rPr>
  </w:style>
  <w:style w:type="character" w:styleId="923">
    <w:name w:val="Caption Char"/>
    <w:next w:val="923"/>
    <w:link w:val="813"/>
    <w:rPr>
      <w:rFonts w:ascii="Times New Roman" w:hAnsi="Times New Roman" w:eastAsia="宋体" w:cs="Times New Roman"/>
    </w:rPr>
  </w:style>
  <w:style w:type="table" w:styleId="924">
    <w:name w:val="Table Grid Light"/>
    <w:basedOn w:val="824"/>
    <w:next w:val="924"/>
    <w:link w:val="813"/>
    <w:pPr>
      <w:spacing w:after="0" w:line="240" w:lineRule="auto"/>
    </w:pPr>
    <w:rPr>
      <w:rFonts w:ascii="Times New Roman" w:hAnsi="Times New Roman" w:eastAsia="宋体" w:cs="Times New Roman"/>
    </w:rPr>
    <w:tblPr/>
  </w:style>
  <w:style w:type="table" w:styleId="925">
    <w:name w:val="Plain Table 1"/>
    <w:basedOn w:val="824"/>
    <w:next w:val="925"/>
    <w:link w:val="813"/>
    <w:pPr>
      <w:spacing w:after="0" w:line="240" w:lineRule="auto"/>
    </w:pPr>
    <w:rPr>
      <w:rFonts w:ascii="Times New Roman" w:hAnsi="Times New Roman" w:eastAsia="宋体" w:cs="Times New Roman"/>
    </w:rPr>
    <w:tblPr/>
  </w:style>
  <w:style w:type="table" w:styleId="926">
    <w:name w:val="Plain Table 2"/>
    <w:basedOn w:val="824"/>
    <w:next w:val="926"/>
    <w:link w:val="813"/>
    <w:pPr>
      <w:spacing w:after="0" w:line="240" w:lineRule="auto"/>
    </w:pPr>
    <w:rPr>
      <w:rFonts w:ascii="Times New Roman" w:hAnsi="Times New Roman" w:eastAsia="宋体" w:cs="Times New Roman"/>
    </w:rPr>
    <w:tblPr/>
  </w:style>
  <w:style w:type="table" w:styleId="927">
    <w:name w:val="Plain Table 3"/>
    <w:basedOn w:val="824"/>
    <w:next w:val="927"/>
    <w:link w:val="813"/>
    <w:pPr>
      <w:spacing w:after="0" w:line="240" w:lineRule="auto"/>
    </w:pPr>
    <w:rPr>
      <w:rFonts w:ascii="Times New Roman" w:hAnsi="Times New Roman" w:eastAsia="宋体" w:cs="Times New Roman"/>
    </w:rPr>
    <w:tblPr/>
  </w:style>
  <w:style w:type="table" w:styleId="928">
    <w:name w:val="Plain Table 4"/>
    <w:basedOn w:val="824"/>
    <w:next w:val="928"/>
    <w:link w:val="813"/>
    <w:pPr>
      <w:spacing w:after="0" w:line="240" w:lineRule="auto"/>
    </w:pPr>
    <w:rPr>
      <w:rFonts w:ascii="Times New Roman" w:hAnsi="Times New Roman" w:eastAsia="宋体" w:cs="Times New Roman"/>
    </w:rPr>
    <w:tblPr/>
  </w:style>
  <w:style w:type="table" w:styleId="929">
    <w:name w:val="Plain Table 5"/>
    <w:basedOn w:val="824"/>
    <w:next w:val="929"/>
    <w:link w:val="813"/>
    <w:pPr>
      <w:spacing w:after="0" w:line="240" w:lineRule="auto"/>
    </w:pPr>
    <w:rPr>
      <w:rFonts w:ascii="Times New Roman" w:hAnsi="Times New Roman" w:eastAsia="宋体" w:cs="Times New Roman"/>
    </w:rPr>
    <w:tblPr/>
  </w:style>
  <w:style w:type="table" w:styleId="930">
    <w:name w:val="Grid Table 1 Light"/>
    <w:basedOn w:val="824"/>
    <w:next w:val="930"/>
    <w:link w:val="813"/>
    <w:pPr>
      <w:spacing w:after="0" w:line="240" w:lineRule="auto"/>
    </w:pPr>
    <w:rPr>
      <w:rFonts w:ascii="Times New Roman" w:hAnsi="Times New Roman" w:eastAsia="宋体" w:cs="Times New Roman"/>
    </w:rPr>
    <w:tblPr/>
  </w:style>
  <w:style w:type="table" w:styleId="931">
    <w:name w:val="Grid Table 1 Light - Accent 1"/>
    <w:basedOn w:val="824"/>
    <w:next w:val="931"/>
    <w:link w:val="813"/>
    <w:pPr>
      <w:spacing w:after="0" w:line="240" w:lineRule="auto"/>
    </w:pPr>
    <w:rPr>
      <w:rFonts w:ascii="Times New Roman" w:hAnsi="Times New Roman" w:eastAsia="宋体" w:cs="Times New Roman"/>
    </w:rPr>
    <w:tblPr/>
  </w:style>
  <w:style w:type="table" w:styleId="932">
    <w:name w:val="Grid Table 1 Light - Accent 2"/>
    <w:basedOn w:val="824"/>
    <w:next w:val="932"/>
    <w:link w:val="813"/>
    <w:pPr>
      <w:spacing w:after="0" w:line="240" w:lineRule="auto"/>
    </w:pPr>
    <w:rPr>
      <w:rFonts w:ascii="Times New Roman" w:hAnsi="Times New Roman" w:eastAsia="宋体" w:cs="Times New Roman"/>
    </w:rPr>
    <w:tblPr/>
  </w:style>
  <w:style w:type="table" w:styleId="933">
    <w:name w:val="Grid Table 1 Light - Accent 3"/>
    <w:basedOn w:val="824"/>
    <w:next w:val="933"/>
    <w:link w:val="813"/>
    <w:pPr>
      <w:spacing w:after="0" w:line="240" w:lineRule="auto"/>
    </w:pPr>
    <w:rPr>
      <w:rFonts w:ascii="Times New Roman" w:hAnsi="Times New Roman" w:eastAsia="宋体" w:cs="Times New Roman"/>
    </w:rPr>
    <w:tblPr/>
  </w:style>
  <w:style w:type="table" w:styleId="934">
    <w:name w:val="Grid Table 1 Light - Accent 4"/>
    <w:basedOn w:val="824"/>
    <w:next w:val="934"/>
    <w:link w:val="813"/>
    <w:pPr>
      <w:spacing w:after="0" w:line="240" w:lineRule="auto"/>
    </w:pPr>
    <w:rPr>
      <w:rFonts w:ascii="Times New Roman" w:hAnsi="Times New Roman" w:eastAsia="宋体" w:cs="Times New Roman"/>
    </w:rPr>
    <w:tblPr/>
  </w:style>
  <w:style w:type="table" w:styleId="935">
    <w:name w:val="Grid Table 1 Light - Accent 5"/>
    <w:basedOn w:val="824"/>
    <w:next w:val="935"/>
    <w:link w:val="813"/>
    <w:pPr>
      <w:spacing w:after="0" w:line="240" w:lineRule="auto"/>
    </w:pPr>
    <w:rPr>
      <w:rFonts w:ascii="Times New Roman" w:hAnsi="Times New Roman" w:eastAsia="宋体" w:cs="Times New Roman"/>
    </w:rPr>
    <w:tblPr/>
  </w:style>
  <w:style w:type="table" w:styleId="936">
    <w:name w:val="Grid Table 1 Light - Accent 6"/>
    <w:basedOn w:val="824"/>
    <w:next w:val="936"/>
    <w:link w:val="813"/>
    <w:pPr>
      <w:spacing w:after="0" w:line="240" w:lineRule="auto"/>
    </w:pPr>
    <w:rPr>
      <w:rFonts w:ascii="Times New Roman" w:hAnsi="Times New Roman" w:eastAsia="宋体" w:cs="Times New Roman"/>
    </w:rPr>
    <w:tblPr/>
  </w:style>
  <w:style w:type="table" w:styleId="937">
    <w:name w:val="Grid Table 2"/>
    <w:basedOn w:val="824"/>
    <w:next w:val="937"/>
    <w:link w:val="813"/>
    <w:pPr>
      <w:spacing w:after="0" w:line="240" w:lineRule="auto"/>
    </w:pPr>
    <w:rPr>
      <w:rFonts w:ascii="Times New Roman" w:hAnsi="Times New Roman" w:eastAsia="宋体" w:cs="Times New Roman"/>
    </w:rPr>
    <w:tblPr/>
  </w:style>
  <w:style w:type="table" w:styleId="938">
    <w:name w:val="Grid Table 2 - Accent 1"/>
    <w:basedOn w:val="824"/>
    <w:next w:val="938"/>
    <w:link w:val="813"/>
    <w:pPr>
      <w:spacing w:after="0" w:line="240" w:lineRule="auto"/>
    </w:pPr>
    <w:rPr>
      <w:rFonts w:ascii="Times New Roman" w:hAnsi="Times New Roman" w:eastAsia="宋体" w:cs="Times New Roman"/>
    </w:rPr>
    <w:tblPr/>
  </w:style>
  <w:style w:type="table" w:styleId="939">
    <w:name w:val="Grid Table 2 - Accent 2"/>
    <w:basedOn w:val="824"/>
    <w:next w:val="939"/>
    <w:link w:val="813"/>
    <w:pPr>
      <w:spacing w:after="0" w:line="240" w:lineRule="auto"/>
    </w:pPr>
    <w:rPr>
      <w:rFonts w:ascii="Times New Roman" w:hAnsi="Times New Roman" w:eastAsia="宋体" w:cs="Times New Roman"/>
    </w:rPr>
    <w:tblPr/>
  </w:style>
  <w:style w:type="table" w:styleId="940">
    <w:name w:val="Grid Table 2 - Accent 3"/>
    <w:basedOn w:val="824"/>
    <w:next w:val="940"/>
    <w:link w:val="813"/>
    <w:pPr>
      <w:spacing w:after="0" w:line="240" w:lineRule="auto"/>
    </w:pPr>
    <w:rPr>
      <w:rFonts w:ascii="Times New Roman" w:hAnsi="Times New Roman" w:eastAsia="宋体" w:cs="Times New Roman"/>
    </w:rPr>
    <w:tblPr/>
  </w:style>
  <w:style w:type="table" w:styleId="941">
    <w:name w:val="Grid Table 2 - Accent 4"/>
    <w:basedOn w:val="824"/>
    <w:next w:val="941"/>
    <w:link w:val="813"/>
    <w:pPr>
      <w:spacing w:after="0" w:line="240" w:lineRule="auto"/>
    </w:pPr>
    <w:rPr>
      <w:rFonts w:ascii="Times New Roman" w:hAnsi="Times New Roman" w:eastAsia="宋体" w:cs="Times New Roman"/>
    </w:rPr>
    <w:tblPr/>
  </w:style>
  <w:style w:type="table" w:styleId="942">
    <w:name w:val="Grid Table 2 - Accent 5"/>
    <w:basedOn w:val="824"/>
    <w:next w:val="942"/>
    <w:link w:val="813"/>
    <w:pPr>
      <w:spacing w:after="0" w:line="240" w:lineRule="auto"/>
    </w:pPr>
    <w:rPr>
      <w:rFonts w:ascii="Times New Roman" w:hAnsi="Times New Roman" w:eastAsia="宋体" w:cs="Times New Roman"/>
    </w:rPr>
    <w:tblPr/>
  </w:style>
  <w:style w:type="table" w:styleId="943">
    <w:name w:val="Grid Table 2 - Accent 6"/>
    <w:basedOn w:val="824"/>
    <w:next w:val="943"/>
    <w:link w:val="813"/>
    <w:pPr>
      <w:spacing w:after="0" w:line="240" w:lineRule="auto"/>
    </w:pPr>
    <w:rPr>
      <w:rFonts w:ascii="Times New Roman" w:hAnsi="Times New Roman" w:eastAsia="宋体" w:cs="Times New Roman"/>
    </w:rPr>
    <w:tblPr/>
  </w:style>
  <w:style w:type="table" w:styleId="944">
    <w:name w:val="Grid Table 3"/>
    <w:basedOn w:val="824"/>
    <w:next w:val="944"/>
    <w:link w:val="813"/>
    <w:pPr>
      <w:spacing w:after="0" w:line="240" w:lineRule="auto"/>
    </w:pPr>
    <w:rPr>
      <w:rFonts w:ascii="Times New Roman" w:hAnsi="Times New Roman" w:eastAsia="宋体" w:cs="Times New Roman"/>
    </w:rPr>
    <w:tblPr/>
  </w:style>
  <w:style w:type="table" w:styleId="945">
    <w:name w:val="Grid Table 3 - Accent 1"/>
    <w:basedOn w:val="824"/>
    <w:next w:val="945"/>
    <w:link w:val="813"/>
    <w:pPr>
      <w:spacing w:after="0" w:line="240" w:lineRule="auto"/>
    </w:pPr>
    <w:rPr>
      <w:rFonts w:ascii="Times New Roman" w:hAnsi="Times New Roman" w:eastAsia="宋体" w:cs="Times New Roman"/>
    </w:rPr>
    <w:tblPr/>
  </w:style>
  <w:style w:type="table" w:styleId="946">
    <w:name w:val="Grid Table 3 - Accent 2"/>
    <w:basedOn w:val="824"/>
    <w:next w:val="946"/>
    <w:link w:val="813"/>
    <w:pPr>
      <w:spacing w:after="0" w:line="240" w:lineRule="auto"/>
    </w:pPr>
    <w:rPr>
      <w:rFonts w:ascii="Times New Roman" w:hAnsi="Times New Roman" w:eastAsia="宋体" w:cs="Times New Roman"/>
    </w:rPr>
    <w:tblPr/>
  </w:style>
  <w:style w:type="table" w:styleId="947">
    <w:name w:val="Grid Table 3 - Accent 3"/>
    <w:basedOn w:val="824"/>
    <w:next w:val="947"/>
    <w:link w:val="813"/>
    <w:pPr>
      <w:spacing w:after="0" w:line="240" w:lineRule="auto"/>
    </w:pPr>
    <w:rPr>
      <w:rFonts w:ascii="Times New Roman" w:hAnsi="Times New Roman" w:eastAsia="宋体" w:cs="Times New Roman"/>
    </w:rPr>
    <w:tblPr/>
  </w:style>
  <w:style w:type="table" w:styleId="948">
    <w:name w:val="Grid Table 3 - Accent 4"/>
    <w:basedOn w:val="824"/>
    <w:next w:val="948"/>
    <w:link w:val="813"/>
    <w:pPr>
      <w:spacing w:after="0" w:line="240" w:lineRule="auto"/>
    </w:pPr>
    <w:rPr>
      <w:rFonts w:ascii="Times New Roman" w:hAnsi="Times New Roman" w:eastAsia="宋体" w:cs="Times New Roman"/>
    </w:rPr>
    <w:tblPr/>
  </w:style>
  <w:style w:type="table" w:styleId="949">
    <w:name w:val="Grid Table 3 - Accent 5"/>
    <w:basedOn w:val="824"/>
    <w:next w:val="949"/>
    <w:link w:val="813"/>
    <w:pPr>
      <w:spacing w:after="0" w:line="240" w:lineRule="auto"/>
    </w:pPr>
    <w:rPr>
      <w:rFonts w:ascii="Times New Roman" w:hAnsi="Times New Roman" w:eastAsia="宋体" w:cs="Times New Roman"/>
    </w:rPr>
    <w:tblPr/>
  </w:style>
  <w:style w:type="table" w:styleId="950">
    <w:name w:val="Grid Table 3 - Accent 6"/>
    <w:basedOn w:val="824"/>
    <w:next w:val="950"/>
    <w:link w:val="813"/>
    <w:pPr>
      <w:spacing w:after="0" w:line="240" w:lineRule="auto"/>
    </w:pPr>
    <w:rPr>
      <w:rFonts w:ascii="Times New Roman" w:hAnsi="Times New Roman" w:eastAsia="宋体" w:cs="Times New Roman"/>
    </w:rPr>
    <w:tblPr/>
  </w:style>
  <w:style w:type="table" w:styleId="951">
    <w:name w:val="Grid Table 4"/>
    <w:basedOn w:val="824"/>
    <w:next w:val="951"/>
    <w:link w:val="813"/>
    <w:pPr>
      <w:spacing w:after="0" w:line="240" w:lineRule="auto"/>
    </w:pPr>
    <w:rPr>
      <w:rFonts w:ascii="Times New Roman" w:hAnsi="Times New Roman" w:eastAsia="宋体" w:cs="Times New Roman"/>
    </w:rPr>
    <w:tblPr/>
  </w:style>
  <w:style w:type="table" w:styleId="952">
    <w:name w:val="Grid Table 4 - Accent 1"/>
    <w:basedOn w:val="824"/>
    <w:next w:val="952"/>
    <w:link w:val="813"/>
    <w:pPr>
      <w:spacing w:after="0" w:line="240" w:lineRule="auto"/>
    </w:pPr>
    <w:rPr>
      <w:rFonts w:ascii="Times New Roman" w:hAnsi="Times New Roman" w:eastAsia="宋体" w:cs="Times New Roman"/>
    </w:rPr>
    <w:tblPr/>
  </w:style>
  <w:style w:type="table" w:styleId="953">
    <w:name w:val="Grid Table 4 - Accent 2"/>
    <w:basedOn w:val="824"/>
    <w:next w:val="953"/>
    <w:link w:val="813"/>
    <w:pPr>
      <w:spacing w:after="0" w:line="240" w:lineRule="auto"/>
    </w:pPr>
    <w:rPr>
      <w:rFonts w:ascii="Times New Roman" w:hAnsi="Times New Roman" w:eastAsia="宋体" w:cs="Times New Roman"/>
    </w:rPr>
    <w:tblPr/>
  </w:style>
  <w:style w:type="table" w:styleId="954">
    <w:name w:val="Grid Table 4 - Accent 3"/>
    <w:basedOn w:val="824"/>
    <w:next w:val="954"/>
    <w:link w:val="813"/>
    <w:pPr>
      <w:spacing w:after="0" w:line="240" w:lineRule="auto"/>
    </w:pPr>
    <w:rPr>
      <w:rFonts w:ascii="Times New Roman" w:hAnsi="Times New Roman" w:eastAsia="宋体" w:cs="Times New Roman"/>
    </w:rPr>
    <w:tblPr/>
  </w:style>
  <w:style w:type="table" w:styleId="955">
    <w:name w:val="Grid Table 4 - Accent 4"/>
    <w:basedOn w:val="824"/>
    <w:next w:val="955"/>
    <w:link w:val="813"/>
    <w:pPr>
      <w:spacing w:after="0" w:line="240" w:lineRule="auto"/>
    </w:pPr>
    <w:rPr>
      <w:rFonts w:ascii="Times New Roman" w:hAnsi="Times New Roman" w:eastAsia="宋体" w:cs="Times New Roman"/>
    </w:rPr>
    <w:tblPr/>
  </w:style>
  <w:style w:type="table" w:styleId="956">
    <w:name w:val="Grid Table 4 - Accent 5"/>
    <w:basedOn w:val="824"/>
    <w:next w:val="956"/>
    <w:link w:val="813"/>
    <w:pPr>
      <w:spacing w:after="0" w:line="240" w:lineRule="auto"/>
    </w:pPr>
    <w:rPr>
      <w:rFonts w:ascii="Times New Roman" w:hAnsi="Times New Roman" w:eastAsia="宋体" w:cs="Times New Roman"/>
    </w:rPr>
    <w:tblPr/>
  </w:style>
  <w:style w:type="table" w:styleId="957">
    <w:name w:val="Grid Table 4 - Accent 6"/>
    <w:basedOn w:val="824"/>
    <w:next w:val="957"/>
    <w:link w:val="813"/>
    <w:pPr>
      <w:spacing w:after="0" w:line="240" w:lineRule="auto"/>
    </w:pPr>
    <w:rPr>
      <w:rFonts w:ascii="Times New Roman" w:hAnsi="Times New Roman" w:eastAsia="宋体" w:cs="Times New Roman"/>
    </w:rPr>
    <w:tblPr/>
  </w:style>
  <w:style w:type="table" w:styleId="958">
    <w:name w:val="Grid Table 5 Dark"/>
    <w:basedOn w:val="824"/>
    <w:next w:val="958"/>
    <w:link w:val="813"/>
    <w:pPr>
      <w:spacing w:after="0" w:line="240" w:lineRule="auto"/>
    </w:pPr>
    <w:rPr>
      <w:rFonts w:ascii="Times New Roman" w:hAnsi="Times New Roman" w:eastAsia="宋体" w:cs="Times New Roman"/>
    </w:rPr>
    <w:tblPr/>
  </w:style>
  <w:style w:type="table" w:styleId="959">
    <w:name w:val="Grid Table 5 Dark- Accent 1"/>
    <w:basedOn w:val="824"/>
    <w:next w:val="959"/>
    <w:link w:val="813"/>
    <w:pPr>
      <w:spacing w:after="0" w:line="240" w:lineRule="auto"/>
    </w:pPr>
    <w:rPr>
      <w:rFonts w:ascii="Times New Roman" w:hAnsi="Times New Roman" w:eastAsia="宋体" w:cs="Times New Roman"/>
    </w:rPr>
    <w:tblPr/>
  </w:style>
  <w:style w:type="table" w:styleId="960">
    <w:name w:val="Grid Table 5 Dark - Accent 2"/>
    <w:basedOn w:val="824"/>
    <w:next w:val="960"/>
    <w:link w:val="813"/>
    <w:pPr>
      <w:spacing w:after="0" w:line="240" w:lineRule="auto"/>
    </w:pPr>
    <w:rPr>
      <w:rFonts w:ascii="Times New Roman" w:hAnsi="Times New Roman" w:eastAsia="宋体" w:cs="Times New Roman"/>
    </w:rPr>
    <w:tblPr/>
  </w:style>
  <w:style w:type="table" w:styleId="961">
    <w:name w:val="Grid Table 5 Dark - Accent 3"/>
    <w:basedOn w:val="824"/>
    <w:next w:val="961"/>
    <w:link w:val="813"/>
    <w:pPr>
      <w:spacing w:after="0" w:line="240" w:lineRule="auto"/>
    </w:pPr>
    <w:rPr>
      <w:rFonts w:ascii="Times New Roman" w:hAnsi="Times New Roman" w:eastAsia="宋体" w:cs="Times New Roman"/>
    </w:rPr>
    <w:tblPr/>
  </w:style>
  <w:style w:type="table" w:styleId="962">
    <w:name w:val="Grid Table 5 Dark- Accent 4"/>
    <w:basedOn w:val="824"/>
    <w:next w:val="962"/>
    <w:link w:val="813"/>
    <w:pPr>
      <w:spacing w:after="0" w:line="240" w:lineRule="auto"/>
    </w:pPr>
    <w:rPr>
      <w:rFonts w:ascii="Times New Roman" w:hAnsi="Times New Roman" w:eastAsia="宋体" w:cs="Times New Roman"/>
    </w:rPr>
    <w:tblPr/>
  </w:style>
  <w:style w:type="table" w:styleId="963">
    <w:name w:val="Grid Table 5 Dark - Accent 5"/>
    <w:basedOn w:val="824"/>
    <w:next w:val="963"/>
    <w:link w:val="813"/>
    <w:pPr>
      <w:spacing w:after="0" w:line="240" w:lineRule="auto"/>
    </w:pPr>
    <w:rPr>
      <w:rFonts w:ascii="Times New Roman" w:hAnsi="Times New Roman" w:eastAsia="宋体" w:cs="Times New Roman"/>
    </w:rPr>
    <w:tblPr/>
  </w:style>
  <w:style w:type="table" w:styleId="964">
    <w:name w:val="Grid Table 5 Dark - Accent 6"/>
    <w:basedOn w:val="824"/>
    <w:next w:val="964"/>
    <w:link w:val="813"/>
    <w:pPr>
      <w:spacing w:after="0" w:line="240" w:lineRule="auto"/>
    </w:pPr>
    <w:rPr>
      <w:rFonts w:ascii="Times New Roman" w:hAnsi="Times New Roman" w:eastAsia="宋体" w:cs="Times New Roman"/>
    </w:rPr>
    <w:tblPr/>
  </w:style>
  <w:style w:type="table" w:styleId="965">
    <w:name w:val="Grid Table 6 Colorful"/>
    <w:basedOn w:val="824"/>
    <w:next w:val="965"/>
    <w:link w:val="813"/>
    <w:pPr>
      <w:spacing w:after="0" w:line="240" w:lineRule="auto"/>
    </w:pPr>
    <w:rPr>
      <w:rFonts w:ascii="Times New Roman" w:hAnsi="Times New Roman" w:eastAsia="宋体" w:cs="Times New Roman"/>
    </w:rPr>
    <w:tblPr/>
  </w:style>
  <w:style w:type="table" w:styleId="966">
    <w:name w:val="Grid Table 6 Colorful - Accent 1"/>
    <w:basedOn w:val="824"/>
    <w:next w:val="966"/>
    <w:link w:val="813"/>
    <w:pPr>
      <w:spacing w:after="0" w:line="240" w:lineRule="auto"/>
    </w:pPr>
    <w:rPr>
      <w:rFonts w:ascii="Times New Roman" w:hAnsi="Times New Roman" w:eastAsia="宋体" w:cs="Times New Roman"/>
    </w:rPr>
    <w:tblPr/>
  </w:style>
  <w:style w:type="table" w:styleId="967">
    <w:name w:val="Grid Table 6 Colorful - Accent 2"/>
    <w:basedOn w:val="824"/>
    <w:next w:val="967"/>
    <w:link w:val="813"/>
    <w:pPr>
      <w:spacing w:after="0" w:line="240" w:lineRule="auto"/>
    </w:pPr>
    <w:rPr>
      <w:rFonts w:ascii="Times New Roman" w:hAnsi="Times New Roman" w:eastAsia="宋体" w:cs="Times New Roman"/>
    </w:rPr>
    <w:tblPr/>
  </w:style>
  <w:style w:type="table" w:styleId="968">
    <w:name w:val="Grid Table 6 Colorful - Accent 3"/>
    <w:basedOn w:val="824"/>
    <w:next w:val="968"/>
    <w:link w:val="813"/>
    <w:pPr>
      <w:spacing w:after="0" w:line="240" w:lineRule="auto"/>
    </w:pPr>
    <w:rPr>
      <w:rFonts w:ascii="Times New Roman" w:hAnsi="Times New Roman" w:eastAsia="宋体" w:cs="Times New Roman"/>
    </w:rPr>
    <w:tblPr/>
  </w:style>
  <w:style w:type="table" w:styleId="969">
    <w:name w:val="Grid Table 6 Colorful - Accent 4"/>
    <w:basedOn w:val="824"/>
    <w:next w:val="969"/>
    <w:link w:val="813"/>
    <w:pPr>
      <w:spacing w:after="0" w:line="240" w:lineRule="auto"/>
    </w:pPr>
    <w:rPr>
      <w:rFonts w:ascii="Times New Roman" w:hAnsi="Times New Roman" w:eastAsia="宋体" w:cs="Times New Roman"/>
    </w:rPr>
    <w:tblPr/>
  </w:style>
  <w:style w:type="table" w:styleId="970">
    <w:name w:val="Grid Table 6 Colorful - Accent 5"/>
    <w:basedOn w:val="824"/>
    <w:next w:val="970"/>
    <w:link w:val="813"/>
    <w:pPr>
      <w:spacing w:after="0" w:line="240" w:lineRule="auto"/>
    </w:pPr>
    <w:rPr>
      <w:rFonts w:ascii="Times New Roman" w:hAnsi="Times New Roman" w:eastAsia="宋体" w:cs="Times New Roman"/>
    </w:rPr>
    <w:tblPr/>
  </w:style>
  <w:style w:type="table" w:styleId="971">
    <w:name w:val="Grid Table 6 Colorful - Accent 6"/>
    <w:basedOn w:val="824"/>
    <w:next w:val="971"/>
    <w:link w:val="813"/>
    <w:pPr>
      <w:spacing w:after="0" w:line="240" w:lineRule="auto"/>
    </w:pPr>
    <w:rPr>
      <w:rFonts w:ascii="Times New Roman" w:hAnsi="Times New Roman" w:eastAsia="宋体" w:cs="Times New Roman"/>
    </w:rPr>
    <w:tblPr/>
  </w:style>
  <w:style w:type="table" w:styleId="972">
    <w:name w:val="Grid Table 7 Colorful"/>
    <w:basedOn w:val="824"/>
    <w:next w:val="972"/>
    <w:link w:val="813"/>
    <w:pPr>
      <w:spacing w:after="0" w:line="240" w:lineRule="auto"/>
    </w:pPr>
    <w:rPr>
      <w:rFonts w:ascii="Times New Roman" w:hAnsi="Times New Roman" w:eastAsia="宋体" w:cs="Times New Roman"/>
    </w:rPr>
    <w:tblPr/>
  </w:style>
  <w:style w:type="table" w:styleId="973">
    <w:name w:val="Grid Table 7 Colorful - Accent 1"/>
    <w:basedOn w:val="824"/>
    <w:next w:val="973"/>
    <w:link w:val="813"/>
    <w:pPr>
      <w:spacing w:after="0" w:line="240" w:lineRule="auto"/>
    </w:pPr>
    <w:rPr>
      <w:rFonts w:ascii="Times New Roman" w:hAnsi="Times New Roman" w:eastAsia="宋体" w:cs="Times New Roman"/>
    </w:rPr>
    <w:tblPr/>
  </w:style>
  <w:style w:type="table" w:styleId="974">
    <w:name w:val="Grid Table 7 Colorful - Accent 2"/>
    <w:basedOn w:val="824"/>
    <w:next w:val="974"/>
    <w:link w:val="813"/>
    <w:pPr>
      <w:spacing w:after="0" w:line="240" w:lineRule="auto"/>
    </w:pPr>
    <w:rPr>
      <w:rFonts w:ascii="Times New Roman" w:hAnsi="Times New Roman" w:eastAsia="宋体" w:cs="Times New Roman"/>
    </w:rPr>
    <w:tblPr/>
  </w:style>
  <w:style w:type="table" w:styleId="975">
    <w:name w:val="Grid Table 7 Colorful - Accent 3"/>
    <w:basedOn w:val="824"/>
    <w:next w:val="975"/>
    <w:link w:val="813"/>
    <w:pPr>
      <w:spacing w:after="0" w:line="240" w:lineRule="auto"/>
    </w:pPr>
    <w:rPr>
      <w:rFonts w:ascii="Times New Roman" w:hAnsi="Times New Roman" w:eastAsia="宋体" w:cs="Times New Roman"/>
    </w:rPr>
    <w:tblPr/>
  </w:style>
  <w:style w:type="table" w:styleId="976">
    <w:name w:val="Grid Table 7 Colorful - Accent 4"/>
    <w:basedOn w:val="824"/>
    <w:next w:val="976"/>
    <w:link w:val="813"/>
    <w:pPr>
      <w:spacing w:after="0" w:line="240" w:lineRule="auto"/>
    </w:pPr>
    <w:rPr>
      <w:rFonts w:ascii="Times New Roman" w:hAnsi="Times New Roman" w:eastAsia="宋体" w:cs="Times New Roman"/>
    </w:rPr>
    <w:tblPr/>
  </w:style>
  <w:style w:type="table" w:styleId="977">
    <w:name w:val="Grid Table 7 Colorful - Accent 5"/>
    <w:basedOn w:val="824"/>
    <w:next w:val="977"/>
    <w:link w:val="813"/>
    <w:pPr>
      <w:spacing w:after="0" w:line="240" w:lineRule="auto"/>
    </w:pPr>
    <w:rPr>
      <w:rFonts w:ascii="Times New Roman" w:hAnsi="Times New Roman" w:eastAsia="宋体" w:cs="Times New Roman"/>
    </w:rPr>
    <w:tblPr/>
  </w:style>
  <w:style w:type="table" w:styleId="978">
    <w:name w:val="Grid Table 7 Colorful - Accent 6"/>
    <w:basedOn w:val="824"/>
    <w:next w:val="978"/>
    <w:link w:val="813"/>
    <w:pPr>
      <w:spacing w:after="0" w:line="240" w:lineRule="auto"/>
    </w:pPr>
    <w:rPr>
      <w:rFonts w:ascii="Times New Roman" w:hAnsi="Times New Roman" w:eastAsia="宋体" w:cs="Times New Roman"/>
    </w:rPr>
    <w:tblPr/>
  </w:style>
  <w:style w:type="table" w:styleId="979">
    <w:name w:val="List Table 1 Light"/>
    <w:basedOn w:val="824"/>
    <w:next w:val="979"/>
    <w:link w:val="813"/>
    <w:pPr>
      <w:spacing w:after="0" w:line="240" w:lineRule="auto"/>
    </w:pPr>
    <w:rPr>
      <w:rFonts w:ascii="Times New Roman" w:hAnsi="Times New Roman" w:eastAsia="宋体" w:cs="Times New Roman"/>
    </w:rPr>
    <w:tblPr/>
  </w:style>
  <w:style w:type="table" w:styleId="980">
    <w:name w:val="List Table 1 Light - Accent 1"/>
    <w:basedOn w:val="824"/>
    <w:next w:val="980"/>
    <w:link w:val="813"/>
    <w:pPr>
      <w:spacing w:after="0" w:line="240" w:lineRule="auto"/>
    </w:pPr>
    <w:rPr>
      <w:rFonts w:ascii="Times New Roman" w:hAnsi="Times New Roman" w:eastAsia="宋体" w:cs="Times New Roman"/>
    </w:rPr>
    <w:tblPr/>
  </w:style>
  <w:style w:type="table" w:styleId="981">
    <w:name w:val="List Table 1 Light - Accent 2"/>
    <w:basedOn w:val="824"/>
    <w:next w:val="981"/>
    <w:link w:val="813"/>
    <w:pPr>
      <w:spacing w:after="0" w:line="240" w:lineRule="auto"/>
    </w:pPr>
    <w:rPr>
      <w:rFonts w:ascii="Times New Roman" w:hAnsi="Times New Roman" w:eastAsia="宋体" w:cs="Times New Roman"/>
    </w:rPr>
    <w:tblPr/>
  </w:style>
  <w:style w:type="table" w:styleId="982">
    <w:name w:val="List Table 1 Light - Accent 3"/>
    <w:basedOn w:val="824"/>
    <w:next w:val="982"/>
    <w:link w:val="813"/>
    <w:pPr>
      <w:spacing w:after="0" w:line="240" w:lineRule="auto"/>
    </w:pPr>
    <w:rPr>
      <w:rFonts w:ascii="Times New Roman" w:hAnsi="Times New Roman" w:eastAsia="宋体" w:cs="Times New Roman"/>
    </w:rPr>
    <w:tblPr/>
  </w:style>
  <w:style w:type="table" w:styleId="983">
    <w:name w:val="List Table 1 Light - Accent 4"/>
    <w:basedOn w:val="824"/>
    <w:next w:val="983"/>
    <w:link w:val="813"/>
    <w:pPr>
      <w:spacing w:after="0" w:line="240" w:lineRule="auto"/>
    </w:pPr>
    <w:rPr>
      <w:rFonts w:ascii="Times New Roman" w:hAnsi="Times New Roman" w:eastAsia="宋体" w:cs="Times New Roman"/>
    </w:rPr>
    <w:tblPr/>
  </w:style>
  <w:style w:type="table" w:styleId="984">
    <w:name w:val="List Table 1 Light - Accent 5"/>
    <w:basedOn w:val="824"/>
    <w:next w:val="984"/>
    <w:link w:val="813"/>
    <w:pPr>
      <w:spacing w:after="0" w:line="240" w:lineRule="auto"/>
    </w:pPr>
    <w:rPr>
      <w:rFonts w:ascii="Times New Roman" w:hAnsi="Times New Roman" w:eastAsia="宋体" w:cs="Times New Roman"/>
    </w:rPr>
    <w:tblPr/>
  </w:style>
  <w:style w:type="table" w:styleId="985">
    <w:name w:val="List Table 1 Light - Accent 6"/>
    <w:basedOn w:val="824"/>
    <w:next w:val="985"/>
    <w:link w:val="813"/>
    <w:pPr>
      <w:spacing w:after="0" w:line="240" w:lineRule="auto"/>
    </w:pPr>
    <w:rPr>
      <w:rFonts w:ascii="Times New Roman" w:hAnsi="Times New Roman" w:eastAsia="宋体" w:cs="Times New Roman"/>
    </w:rPr>
    <w:tblPr/>
  </w:style>
  <w:style w:type="table" w:styleId="986">
    <w:name w:val="List Table 2"/>
    <w:basedOn w:val="824"/>
    <w:next w:val="986"/>
    <w:link w:val="813"/>
    <w:pPr>
      <w:spacing w:after="0" w:line="240" w:lineRule="auto"/>
    </w:pPr>
    <w:rPr>
      <w:rFonts w:ascii="Times New Roman" w:hAnsi="Times New Roman" w:eastAsia="宋体" w:cs="Times New Roman"/>
    </w:rPr>
    <w:tblPr/>
  </w:style>
  <w:style w:type="table" w:styleId="987">
    <w:name w:val="List Table 2 - Accent 1"/>
    <w:basedOn w:val="824"/>
    <w:next w:val="987"/>
    <w:link w:val="813"/>
    <w:pPr>
      <w:spacing w:after="0" w:line="240" w:lineRule="auto"/>
    </w:pPr>
    <w:rPr>
      <w:rFonts w:ascii="Times New Roman" w:hAnsi="Times New Roman" w:eastAsia="宋体" w:cs="Times New Roman"/>
    </w:rPr>
    <w:tblPr/>
  </w:style>
  <w:style w:type="table" w:styleId="988">
    <w:name w:val="List Table 2 - Accent 2"/>
    <w:basedOn w:val="824"/>
    <w:next w:val="988"/>
    <w:link w:val="813"/>
    <w:pPr>
      <w:spacing w:after="0" w:line="240" w:lineRule="auto"/>
    </w:pPr>
    <w:rPr>
      <w:rFonts w:ascii="Times New Roman" w:hAnsi="Times New Roman" w:eastAsia="宋体" w:cs="Times New Roman"/>
    </w:rPr>
    <w:tblPr/>
  </w:style>
  <w:style w:type="table" w:styleId="989">
    <w:name w:val="List Table 2 - Accent 3"/>
    <w:basedOn w:val="824"/>
    <w:next w:val="989"/>
    <w:link w:val="813"/>
    <w:pPr>
      <w:spacing w:after="0" w:line="240" w:lineRule="auto"/>
    </w:pPr>
    <w:rPr>
      <w:rFonts w:ascii="Times New Roman" w:hAnsi="Times New Roman" w:eastAsia="宋体" w:cs="Times New Roman"/>
    </w:rPr>
    <w:tblPr/>
  </w:style>
  <w:style w:type="table" w:styleId="990">
    <w:name w:val="List Table 2 - Accent 4"/>
    <w:basedOn w:val="824"/>
    <w:next w:val="990"/>
    <w:link w:val="813"/>
    <w:pPr>
      <w:spacing w:after="0" w:line="240" w:lineRule="auto"/>
    </w:pPr>
    <w:rPr>
      <w:rFonts w:ascii="Times New Roman" w:hAnsi="Times New Roman" w:eastAsia="宋体" w:cs="Times New Roman"/>
    </w:rPr>
    <w:tblPr/>
  </w:style>
  <w:style w:type="table" w:styleId="991">
    <w:name w:val="List Table 2 - Accent 5"/>
    <w:basedOn w:val="824"/>
    <w:next w:val="991"/>
    <w:link w:val="813"/>
    <w:pPr>
      <w:spacing w:after="0" w:line="240" w:lineRule="auto"/>
    </w:pPr>
    <w:rPr>
      <w:rFonts w:ascii="Times New Roman" w:hAnsi="Times New Roman" w:eastAsia="宋体" w:cs="Times New Roman"/>
    </w:rPr>
    <w:tblPr/>
  </w:style>
  <w:style w:type="table" w:styleId="992">
    <w:name w:val="List Table 2 - Accent 6"/>
    <w:basedOn w:val="824"/>
    <w:next w:val="992"/>
    <w:link w:val="813"/>
    <w:pPr>
      <w:spacing w:after="0" w:line="240" w:lineRule="auto"/>
    </w:pPr>
    <w:rPr>
      <w:rFonts w:ascii="Times New Roman" w:hAnsi="Times New Roman" w:eastAsia="宋体" w:cs="Times New Roman"/>
    </w:rPr>
    <w:tblPr/>
  </w:style>
  <w:style w:type="table" w:styleId="993">
    <w:name w:val="List Table 3"/>
    <w:basedOn w:val="824"/>
    <w:next w:val="993"/>
    <w:link w:val="813"/>
    <w:pPr>
      <w:spacing w:after="0" w:line="240" w:lineRule="auto"/>
    </w:pPr>
    <w:rPr>
      <w:rFonts w:ascii="Times New Roman" w:hAnsi="Times New Roman" w:eastAsia="宋体" w:cs="Times New Roman"/>
    </w:rPr>
    <w:tblPr/>
  </w:style>
  <w:style w:type="table" w:styleId="994">
    <w:name w:val="List Table 3 - Accent 1"/>
    <w:basedOn w:val="824"/>
    <w:next w:val="994"/>
    <w:link w:val="813"/>
    <w:pPr>
      <w:spacing w:after="0" w:line="240" w:lineRule="auto"/>
    </w:pPr>
    <w:rPr>
      <w:rFonts w:ascii="Times New Roman" w:hAnsi="Times New Roman" w:eastAsia="宋体" w:cs="Times New Roman"/>
    </w:rPr>
    <w:tblPr/>
  </w:style>
  <w:style w:type="table" w:styleId="995">
    <w:name w:val="List Table 3 - Accent 2"/>
    <w:basedOn w:val="824"/>
    <w:next w:val="995"/>
    <w:link w:val="813"/>
    <w:pPr>
      <w:spacing w:after="0" w:line="240" w:lineRule="auto"/>
    </w:pPr>
    <w:rPr>
      <w:rFonts w:ascii="Times New Roman" w:hAnsi="Times New Roman" w:eastAsia="宋体" w:cs="Times New Roman"/>
    </w:rPr>
    <w:tblPr/>
  </w:style>
  <w:style w:type="table" w:styleId="996">
    <w:name w:val="List Table 3 - Accent 3"/>
    <w:basedOn w:val="824"/>
    <w:next w:val="996"/>
    <w:link w:val="813"/>
    <w:pPr>
      <w:spacing w:after="0" w:line="240" w:lineRule="auto"/>
    </w:pPr>
    <w:rPr>
      <w:rFonts w:ascii="Times New Roman" w:hAnsi="Times New Roman" w:eastAsia="宋体" w:cs="Times New Roman"/>
    </w:rPr>
    <w:tblPr/>
  </w:style>
  <w:style w:type="table" w:styleId="997">
    <w:name w:val="List Table 3 - Accent 4"/>
    <w:basedOn w:val="824"/>
    <w:next w:val="997"/>
    <w:link w:val="813"/>
    <w:pPr>
      <w:spacing w:after="0" w:line="240" w:lineRule="auto"/>
    </w:pPr>
    <w:rPr>
      <w:rFonts w:ascii="Times New Roman" w:hAnsi="Times New Roman" w:eastAsia="宋体" w:cs="Times New Roman"/>
    </w:rPr>
    <w:tblPr/>
  </w:style>
  <w:style w:type="table" w:styleId="998">
    <w:name w:val="List Table 3 - Accent 5"/>
    <w:basedOn w:val="824"/>
    <w:next w:val="998"/>
    <w:link w:val="813"/>
    <w:pPr>
      <w:spacing w:after="0" w:line="240" w:lineRule="auto"/>
    </w:pPr>
    <w:rPr>
      <w:rFonts w:ascii="Times New Roman" w:hAnsi="Times New Roman" w:eastAsia="宋体" w:cs="Times New Roman"/>
    </w:rPr>
    <w:tblPr/>
  </w:style>
  <w:style w:type="table" w:styleId="999">
    <w:name w:val="List Table 3 - Accent 6"/>
    <w:basedOn w:val="824"/>
    <w:next w:val="999"/>
    <w:link w:val="813"/>
    <w:pPr>
      <w:spacing w:after="0" w:line="240" w:lineRule="auto"/>
    </w:pPr>
    <w:rPr>
      <w:rFonts w:ascii="Times New Roman" w:hAnsi="Times New Roman" w:eastAsia="宋体" w:cs="Times New Roman"/>
    </w:rPr>
    <w:tblPr/>
  </w:style>
  <w:style w:type="table" w:styleId="1000">
    <w:name w:val="List Table 4"/>
    <w:basedOn w:val="824"/>
    <w:next w:val="1000"/>
    <w:link w:val="813"/>
    <w:pPr>
      <w:spacing w:after="0" w:line="240" w:lineRule="auto"/>
    </w:pPr>
    <w:rPr>
      <w:rFonts w:ascii="Times New Roman" w:hAnsi="Times New Roman" w:eastAsia="宋体" w:cs="Times New Roman"/>
    </w:rPr>
    <w:tblPr/>
  </w:style>
  <w:style w:type="table" w:styleId="1001">
    <w:name w:val="List Table 4 - Accent 1"/>
    <w:basedOn w:val="824"/>
    <w:next w:val="1001"/>
    <w:link w:val="813"/>
    <w:pPr>
      <w:spacing w:after="0" w:line="240" w:lineRule="auto"/>
    </w:pPr>
    <w:rPr>
      <w:rFonts w:ascii="Times New Roman" w:hAnsi="Times New Roman" w:eastAsia="宋体" w:cs="Times New Roman"/>
    </w:rPr>
    <w:tblPr/>
  </w:style>
  <w:style w:type="table" w:styleId="1002">
    <w:name w:val="List Table 4 - Accent 2"/>
    <w:basedOn w:val="824"/>
    <w:next w:val="1002"/>
    <w:link w:val="813"/>
    <w:pPr>
      <w:spacing w:after="0" w:line="240" w:lineRule="auto"/>
    </w:pPr>
    <w:rPr>
      <w:rFonts w:ascii="Times New Roman" w:hAnsi="Times New Roman" w:eastAsia="宋体" w:cs="Times New Roman"/>
    </w:rPr>
    <w:tblPr/>
  </w:style>
  <w:style w:type="table" w:styleId="1003">
    <w:name w:val="List Table 4 - Accent 3"/>
    <w:basedOn w:val="824"/>
    <w:next w:val="1003"/>
    <w:link w:val="813"/>
    <w:pPr>
      <w:spacing w:after="0" w:line="240" w:lineRule="auto"/>
    </w:pPr>
    <w:rPr>
      <w:rFonts w:ascii="Times New Roman" w:hAnsi="Times New Roman" w:eastAsia="宋体" w:cs="Times New Roman"/>
    </w:rPr>
    <w:tblPr/>
  </w:style>
  <w:style w:type="table" w:styleId="1004">
    <w:name w:val="List Table 4 - Accent 4"/>
    <w:basedOn w:val="824"/>
    <w:next w:val="1004"/>
    <w:link w:val="813"/>
    <w:pPr>
      <w:spacing w:after="0" w:line="240" w:lineRule="auto"/>
    </w:pPr>
    <w:rPr>
      <w:rFonts w:ascii="Times New Roman" w:hAnsi="Times New Roman" w:eastAsia="宋体" w:cs="Times New Roman"/>
    </w:rPr>
    <w:tblPr/>
  </w:style>
  <w:style w:type="table" w:styleId="1005">
    <w:name w:val="List Table 4 - Accent 5"/>
    <w:basedOn w:val="824"/>
    <w:next w:val="1005"/>
    <w:link w:val="813"/>
    <w:pPr>
      <w:spacing w:after="0" w:line="240" w:lineRule="auto"/>
    </w:pPr>
    <w:rPr>
      <w:rFonts w:ascii="Times New Roman" w:hAnsi="Times New Roman" w:eastAsia="宋体" w:cs="Times New Roman"/>
    </w:rPr>
    <w:tblPr/>
  </w:style>
  <w:style w:type="table" w:styleId="1006">
    <w:name w:val="List Table 4 - Accent 6"/>
    <w:basedOn w:val="824"/>
    <w:next w:val="1006"/>
    <w:link w:val="813"/>
    <w:pPr>
      <w:spacing w:after="0" w:line="240" w:lineRule="auto"/>
    </w:pPr>
    <w:rPr>
      <w:rFonts w:ascii="Times New Roman" w:hAnsi="Times New Roman" w:eastAsia="宋体" w:cs="Times New Roman"/>
    </w:rPr>
    <w:tblPr/>
  </w:style>
  <w:style w:type="table" w:styleId="1007">
    <w:name w:val="List Table 5 Dark"/>
    <w:basedOn w:val="824"/>
    <w:next w:val="1007"/>
    <w:link w:val="813"/>
    <w:pPr>
      <w:spacing w:after="0" w:line="240" w:lineRule="auto"/>
    </w:pPr>
    <w:rPr>
      <w:rFonts w:ascii="Times New Roman" w:hAnsi="Times New Roman" w:eastAsia="宋体" w:cs="Times New Roman"/>
    </w:rPr>
    <w:tblPr/>
  </w:style>
  <w:style w:type="table" w:styleId="1008">
    <w:name w:val="List Table 5 Dark - Accent 1"/>
    <w:basedOn w:val="824"/>
    <w:next w:val="1008"/>
    <w:link w:val="813"/>
    <w:pPr>
      <w:spacing w:after="0" w:line="240" w:lineRule="auto"/>
    </w:pPr>
    <w:rPr>
      <w:rFonts w:ascii="Times New Roman" w:hAnsi="Times New Roman" w:eastAsia="宋体" w:cs="Times New Roman"/>
    </w:rPr>
    <w:tblPr/>
  </w:style>
  <w:style w:type="table" w:styleId="1009">
    <w:name w:val="List Table 5 Dark - Accent 2"/>
    <w:basedOn w:val="824"/>
    <w:next w:val="1009"/>
    <w:link w:val="813"/>
    <w:pPr>
      <w:spacing w:after="0" w:line="240" w:lineRule="auto"/>
    </w:pPr>
    <w:rPr>
      <w:rFonts w:ascii="Times New Roman" w:hAnsi="Times New Roman" w:eastAsia="宋体" w:cs="Times New Roman"/>
    </w:rPr>
    <w:tblPr/>
  </w:style>
  <w:style w:type="table" w:styleId="1010">
    <w:name w:val="List Table 5 Dark - Accent 3"/>
    <w:basedOn w:val="824"/>
    <w:next w:val="1010"/>
    <w:link w:val="813"/>
    <w:pPr>
      <w:spacing w:after="0" w:line="240" w:lineRule="auto"/>
    </w:pPr>
    <w:rPr>
      <w:rFonts w:ascii="Times New Roman" w:hAnsi="Times New Roman" w:eastAsia="宋体" w:cs="Times New Roman"/>
    </w:rPr>
    <w:tblPr/>
  </w:style>
  <w:style w:type="table" w:styleId="1011">
    <w:name w:val="List Table 5 Dark - Accent 4"/>
    <w:basedOn w:val="824"/>
    <w:next w:val="1011"/>
    <w:link w:val="813"/>
    <w:pPr>
      <w:spacing w:after="0" w:line="240" w:lineRule="auto"/>
    </w:pPr>
    <w:rPr>
      <w:rFonts w:ascii="Times New Roman" w:hAnsi="Times New Roman" w:eastAsia="宋体" w:cs="Times New Roman"/>
    </w:rPr>
    <w:tblPr/>
  </w:style>
  <w:style w:type="table" w:styleId="1012">
    <w:name w:val="List Table 5 Dark - Accent 5"/>
    <w:basedOn w:val="824"/>
    <w:next w:val="1012"/>
    <w:link w:val="813"/>
    <w:pPr>
      <w:spacing w:after="0" w:line="240" w:lineRule="auto"/>
    </w:pPr>
    <w:rPr>
      <w:rFonts w:ascii="Times New Roman" w:hAnsi="Times New Roman" w:eastAsia="宋体" w:cs="Times New Roman"/>
    </w:rPr>
    <w:tblPr/>
  </w:style>
  <w:style w:type="table" w:styleId="1013">
    <w:name w:val="List Table 5 Dark - Accent 6"/>
    <w:basedOn w:val="824"/>
    <w:next w:val="1013"/>
    <w:link w:val="813"/>
    <w:pPr>
      <w:spacing w:after="0" w:line="240" w:lineRule="auto"/>
    </w:pPr>
    <w:rPr>
      <w:rFonts w:ascii="Times New Roman" w:hAnsi="Times New Roman" w:eastAsia="宋体" w:cs="Times New Roman"/>
    </w:rPr>
    <w:tblPr/>
  </w:style>
  <w:style w:type="table" w:styleId="1014">
    <w:name w:val="List Table 6 Colorful"/>
    <w:basedOn w:val="824"/>
    <w:next w:val="1014"/>
    <w:link w:val="813"/>
    <w:pPr>
      <w:spacing w:after="0" w:line="240" w:lineRule="auto"/>
    </w:pPr>
    <w:rPr>
      <w:rFonts w:ascii="Times New Roman" w:hAnsi="Times New Roman" w:eastAsia="宋体" w:cs="Times New Roman"/>
    </w:rPr>
    <w:tblPr/>
  </w:style>
  <w:style w:type="table" w:styleId="1015">
    <w:name w:val="List Table 6 Colorful - Accent 1"/>
    <w:basedOn w:val="824"/>
    <w:next w:val="1015"/>
    <w:link w:val="813"/>
    <w:pPr>
      <w:spacing w:after="0" w:line="240" w:lineRule="auto"/>
    </w:pPr>
    <w:rPr>
      <w:rFonts w:ascii="Times New Roman" w:hAnsi="Times New Roman" w:eastAsia="宋体" w:cs="Times New Roman"/>
    </w:rPr>
    <w:tblPr/>
  </w:style>
  <w:style w:type="table" w:styleId="1016">
    <w:name w:val="List Table 6 Colorful - Accent 2"/>
    <w:basedOn w:val="824"/>
    <w:next w:val="1016"/>
    <w:link w:val="813"/>
    <w:pPr>
      <w:spacing w:after="0" w:line="240" w:lineRule="auto"/>
    </w:pPr>
    <w:rPr>
      <w:rFonts w:ascii="Times New Roman" w:hAnsi="Times New Roman" w:eastAsia="宋体" w:cs="Times New Roman"/>
    </w:rPr>
    <w:tblPr/>
  </w:style>
  <w:style w:type="table" w:styleId="1017">
    <w:name w:val="List Table 6 Colorful - Accent 3"/>
    <w:basedOn w:val="824"/>
    <w:next w:val="1017"/>
    <w:link w:val="813"/>
    <w:pPr>
      <w:spacing w:after="0" w:line="240" w:lineRule="auto"/>
    </w:pPr>
    <w:rPr>
      <w:rFonts w:ascii="Times New Roman" w:hAnsi="Times New Roman" w:eastAsia="宋体" w:cs="Times New Roman"/>
    </w:rPr>
    <w:tblPr/>
  </w:style>
  <w:style w:type="table" w:styleId="1018">
    <w:name w:val="List Table 6 Colorful - Accent 4"/>
    <w:basedOn w:val="824"/>
    <w:next w:val="1018"/>
    <w:link w:val="813"/>
    <w:pPr>
      <w:spacing w:after="0" w:line="240" w:lineRule="auto"/>
    </w:pPr>
    <w:rPr>
      <w:rFonts w:ascii="Times New Roman" w:hAnsi="Times New Roman" w:eastAsia="宋体" w:cs="Times New Roman"/>
    </w:rPr>
    <w:tblPr/>
  </w:style>
  <w:style w:type="table" w:styleId="1019">
    <w:name w:val="List Table 6 Colorful - Accent 5"/>
    <w:basedOn w:val="824"/>
    <w:next w:val="1019"/>
    <w:link w:val="813"/>
    <w:pPr>
      <w:spacing w:after="0" w:line="240" w:lineRule="auto"/>
    </w:pPr>
    <w:rPr>
      <w:rFonts w:ascii="Times New Roman" w:hAnsi="Times New Roman" w:eastAsia="宋体" w:cs="Times New Roman"/>
    </w:rPr>
    <w:tblPr/>
  </w:style>
  <w:style w:type="table" w:styleId="1020">
    <w:name w:val="List Table 6 Colorful - Accent 6"/>
    <w:basedOn w:val="824"/>
    <w:next w:val="1020"/>
    <w:link w:val="813"/>
    <w:pPr>
      <w:spacing w:after="0" w:line="240" w:lineRule="auto"/>
    </w:pPr>
    <w:rPr>
      <w:rFonts w:ascii="Times New Roman" w:hAnsi="Times New Roman" w:eastAsia="宋体" w:cs="Times New Roman"/>
    </w:rPr>
    <w:tblPr/>
  </w:style>
  <w:style w:type="table" w:styleId="1021">
    <w:name w:val="List Table 7 Colorful"/>
    <w:basedOn w:val="824"/>
    <w:next w:val="1021"/>
    <w:link w:val="813"/>
    <w:pPr>
      <w:spacing w:after="0" w:line="240" w:lineRule="auto"/>
    </w:pPr>
    <w:rPr>
      <w:rFonts w:ascii="Times New Roman" w:hAnsi="Times New Roman" w:eastAsia="宋体" w:cs="Times New Roman"/>
    </w:rPr>
    <w:tblPr/>
  </w:style>
  <w:style w:type="table" w:styleId="1022">
    <w:name w:val="List Table 7 Colorful - Accent 1"/>
    <w:basedOn w:val="824"/>
    <w:next w:val="1022"/>
    <w:link w:val="813"/>
    <w:pPr>
      <w:spacing w:after="0" w:line="240" w:lineRule="auto"/>
    </w:pPr>
    <w:rPr>
      <w:rFonts w:ascii="Times New Roman" w:hAnsi="Times New Roman" w:eastAsia="宋体" w:cs="Times New Roman"/>
    </w:rPr>
    <w:tblPr/>
  </w:style>
  <w:style w:type="table" w:styleId="1023">
    <w:name w:val="List Table 7 Colorful - Accent 2"/>
    <w:basedOn w:val="824"/>
    <w:next w:val="1023"/>
    <w:link w:val="813"/>
    <w:pPr>
      <w:spacing w:after="0" w:line="240" w:lineRule="auto"/>
    </w:pPr>
    <w:rPr>
      <w:rFonts w:ascii="Times New Roman" w:hAnsi="Times New Roman" w:eastAsia="宋体" w:cs="Times New Roman"/>
    </w:rPr>
    <w:tblPr/>
  </w:style>
  <w:style w:type="table" w:styleId="1024">
    <w:name w:val="List Table 7 Colorful - Accent 3"/>
    <w:basedOn w:val="824"/>
    <w:next w:val="1024"/>
    <w:link w:val="813"/>
    <w:pPr>
      <w:spacing w:after="0" w:line="240" w:lineRule="auto"/>
    </w:pPr>
    <w:rPr>
      <w:rFonts w:ascii="Times New Roman" w:hAnsi="Times New Roman" w:eastAsia="宋体" w:cs="Times New Roman"/>
    </w:rPr>
    <w:tblPr/>
  </w:style>
  <w:style w:type="table" w:styleId="1025">
    <w:name w:val="List Table 7 Colorful - Accent 4"/>
    <w:basedOn w:val="824"/>
    <w:next w:val="1025"/>
    <w:link w:val="813"/>
    <w:pPr>
      <w:spacing w:after="0" w:line="240" w:lineRule="auto"/>
    </w:pPr>
    <w:rPr>
      <w:rFonts w:ascii="Times New Roman" w:hAnsi="Times New Roman" w:eastAsia="宋体" w:cs="Times New Roman"/>
    </w:rPr>
    <w:tblPr/>
  </w:style>
  <w:style w:type="table" w:styleId="1026">
    <w:name w:val="List Table 7 Colorful - Accent 5"/>
    <w:basedOn w:val="824"/>
    <w:next w:val="1026"/>
    <w:link w:val="813"/>
    <w:pPr>
      <w:spacing w:after="0" w:line="240" w:lineRule="auto"/>
    </w:pPr>
    <w:rPr>
      <w:rFonts w:ascii="Times New Roman" w:hAnsi="Times New Roman" w:eastAsia="宋体" w:cs="Times New Roman"/>
    </w:rPr>
    <w:tblPr/>
  </w:style>
  <w:style w:type="table" w:styleId="1027">
    <w:name w:val="List Table 7 Colorful - Accent 6"/>
    <w:basedOn w:val="824"/>
    <w:next w:val="1027"/>
    <w:link w:val="813"/>
    <w:pPr>
      <w:spacing w:after="0" w:line="240" w:lineRule="auto"/>
    </w:pPr>
    <w:rPr>
      <w:rFonts w:ascii="Times New Roman" w:hAnsi="Times New Roman" w:eastAsia="宋体" w:cs="Times New Roman"/>
    </w:rPr>
    <w:tblPr/>
  </w:style>
  <w:style w:type="table" w:styleId="1028">
    <w:name w:val="Lined - Accent"/>
    <w:basedOn w:val="824"/>
    <w:next w:val="1028"/>
    <w:link w:val="813"/>
    <w:pPr>
      <w:spacing w:after="0" w:line="240" w:lineRule="auto"/>
    </w:pPr>
    <w:rPr>
      <w:rFonts w:ascii="Times New Roman" w:hAnsi="Times New Roman" w:eastAsia="宋体" w:cs="Times New Roman"/>
      <w:color w:val="404040"/>
    </w:rPr>
    <w:tblPr/>
  </w:style>
  <w:style w:type="table" w:styleId="1029">
    <w:name w:val="Lined - Accent 1"/>
    <w:basedOn w:val="824"/>
    <w:next w:val="1029"/>
    <w:link w:val="813"/>
    <w:pPr>
      <w:spacing w:after="0" w:line="240" w:lineRule="auto"/>
    </w:pPr>
    <w:rPr>
      <w:rFonts w:ascii="Times New Roman" w:hAnsi="Times New Roman" w:eastAsia="宋体" w:cs="Times New Roman"/>
      <w:color w:val="404040"/>
    </w:rPr>
    <w:tblPr/>
  </w:style>
  <w:style w:type="table" w:styleId="1030">
    <w:name w:val="Lined - Accent 2"/>
    <w:basedOn w:val="824"/>
    <w:next w:val="1030"/>
    <w:link w:val="813"/>
    <w:pPr>
      <w:spacing w:after="0" w:line="240" w:lineRule="auto"/>
    </w:pPr>
    <w:rPr>
      <w:rFonts w:ascii="Times New Roman" w:hAnsi="Times New Roman" w:eastAsia="宋体" w:cs="Times New Roman"/>
      <w:color w:val="404040"/>
    </w:rPr>
    <w:tblPr/>
  </w:style>
  <w:style w:type="table" w:styleId="1031">
    <w:name w:val="Lined - Accent 3"/>
    <w:basedOn w:val="824"/>
    <w:next w:val="1031"/>
    <w:link w:val="813"/>
    <w:pPr>
      <w:spacing w:after="0" w:line="240" w:lineRule="auto"/>
    </w:pPr>
    <w:rPr>
      <w:rFonts w:ascii="Times New Roman" w:hAnsi="Times New Roman" w:eastAsia="宋体" w:cs="Times New Roman"/>
      <w:color w:val="404040"/>
    </w:rPr>
    <w:tblPr/>
  </w:style>
  <w:style w:type="table" w:styleId="1032">
    <w:name w:val="Lined - Accent 4"/>
    <w:basedOn w:val="824"/>
    <w:next w:val="1032"/>
    <w:link w:val="813"/>
    <w:pPr>
      <w:spacing w:after="0" w:line="240" w:lineRule="auto"/>
    </w:pPr>
    <w:rPr>
      <w:rFonts w:ascii="Times New Roman" w:hAnsi="Times New Roman" w:eastAsia="宋体" w:cs="Times New Roman"/>
      <w:color w:val="404040"/>
    </w:rPr>
    <w:tblPr/>
  </w:style>
  <w:style w:type="table" w:styleId="1033">
    <w:name w:val="Lined - Accent 5"/>
    <w:basedOn w:val="824"/>
    <w:next w:val="1033"/>
    <w:link w:val="813"/>
    <w:pPr>
      <w:spacing w:after="0" w:line="240" w:lineRule="auto"/>
    </w:pPr>
    <w:rPr>
      <w:rFonts w:ascii="Times New Roman" w:hAnsi="Times New Roman" w:eastAsia="宋体" w:cs="Times New Roman"/>
      <w:color w:val="404040"/>
    </w:rPr>
    <w:tblPr/>
  </w:style>
  <w:style w:type="table" w:styleId="1034">
    <w:name w:val="Lined - Accent 6"/>
    <w:basedOn w:val="824"/>
    <w:next w:val="1034"/>
    <w:link w:val="813"/>
    <w:pPr>
      <w:spacing w:after="0" w:line="240" w:lineRule="auto"/>
    </w:pPr>
    <w:rPr>
      <w:rFonts w:ascii="Times New Roman" w:hAnsi="Times New Roman" w:eastAsia="宋体" w:cs="Times New Roman"/>
      <w:color w:val="404040"/>
    </w:rPr>
    <w:tblPr/>
  </w:style>
  <w:style w:type="table" w:styleId="1035">
    <w:name w:val="Bordered &amp; Lined - Accent"/>
    <w:basedOn w:val="824"/>
    <w:next w:val="1035"/>
    <w:link w:val="813"/>
    <w:pPr>
      <w:spacing w:after="0" w:line="240" w:lineRule="auto"/>
    </w:pPr>
    <w:rPr>
      <w:rFonts w:ascii="Times New Roman" w:hAnsi="Times New Roman" w:eastAsia="宋体" w:cs="Times New Roman"/>
      <w:color w:val="404040"/>
    </w:rPr>
    <w:tblPr/>
  </w:style>
  <w:style w:type="table" w:styleId="1036">
    <w:name w:val="Bordered &amp; Lined - Accent 1"/>
    <w:basedOn w:val="824"/>
    <w:next w:val="1036"/>
    <w:link w:val="813"/>
    <w:pPr>
      <w:spacing w:after="0" w:line="240" w:lineRule="auto"/>
    </w:pPr>
    <w:rPr>
      <w:rFonts w:ascii="Times New Roman" w:hAnsi="Times New Roman" w:eastAsia="宋体" w:cs="Times New Roman"/>
      <w:color w:val="404040"/>
    </w:rPr>
    <w:tblPr/>
  </w:style>
  <w:style w:type="table" w:styleId="1037">
    <w:name w:val="Bordered &amp; Lined - Accent 2"/>
    <w:basedOn w:val="824"/>
    <w:next w:val="1037"/>
    <w:link w:val="813"/>
    <w:pPr>
      <w:spacing w:after="0" w:line="240" w:lineRule="auto"/>
    </w:pPr>
    <w:rPr>
      <w:rFonts w:ascii="Times New Roman" w:hAnsi="Times New Roman" w:eastAsia="宋体" w:cs="Times New Roman"/>
      <w:color w:val="404040"/>
    </w:rPr>
    <w:tblPr/>
  </w:style>
  <w:style w:type="table" w:styleId="1038">
    <w:name w:val="Bordered &amp; Lined - Accent 3"/>
    <w:basedOn w:val="824"/>
    <w:next w:val="1038"/>
    <w:link w:val="813"/>
    <w:pPr>
      <w:spacing w:after="0" w:line="240" w:lineRule="auto"/>
    </w:pPr>
    <w:rPr>
      <w:rFonts w:ascii="Times New Roman" w:hAnsi="Times New Roman" w:eastAsia="宋体" w:cs="Times New Roman"/>
      <w:color w:val="404040"/>
    </w:rPr>
    <w:tblPr/>
  </w:style>
  <w:style w:type="table" w:styleId="1039">
    <w:name w:val="Bordered &amp; Lined - Accent 4"/>
    <w:basedOn w:val="824"/>
    <w:next w:val="1039"/>
    <w:link w:val="813"/>
    <w:pPr>
      <w:spacing w:after="0" w:line="240" w:lineRule="auto"/>
    </w:pPr>
    <w:rPr>
      <w:rFonts w:ascii="Times New Roman" w:hAnsi="Times New Roman" w:eastAsia="宋体" w:cs="Times New Roman"/>
      <w:color w:val="404040"/>
    </w:rPr>
    <w:tblPr/>
  </w:style>
  <w:style w:type="table" w:styleId="1040">
    <w:name w:val="Bordered &amp; Lined - Accent 5"/>
    <w:basedOn w:val="824"/>
    <w:next w:val="1040"/>
    <w:link w:val="813"/>
    <w:pPr>
      <w:spacing w:after="0" w:line="240" w:lineRule="auto"/>
    </w:pPr>
    <w:rPr>
      <w:rFonts w:ascii="Times New Roman" w:hAnsi="Times New Roman" w:eastAsia="宋体" w:cs="Times New Roman"/>
      <w:color w:val="404040"/>
    </w:rPr>
    <w:tblPr/>
  </w:style>
  <w:style w:type="table" w:styleId="1041">
    <w:name w:val="Bordered &amp; Lined - Accent 6"/>
    <w:basedOn w:val="824"/>
    <w:next w:val="1041"/>
    <w:link w:val="813"/>
    <w:pPr>
      <w:spacing w:after="0" w:line="240" w:lineRule="auto"/>
    </w:pPr>
    <w:rPr>
      <w:rFonts w:ascii="Times New Roman" w:hAnsi="Times New Roman" w:eastAsia="宋体" w:cs="Times New Roman"/>
      <w:color w:val="404040"/>
    </w:rPr>
    <w:tblPr/>
  </w:style>
  <w:style w:type="table" w:styleId="1042">
    <w:name w:val="Bordered"/>
    <w:basedOn w:val="824"/>
    <w:next w:val="1042"/>
    <w:link w:val="813"/>
    <w:pPr>
      <w:spacing w:after="0" w:line="240" w:lineRule="auto"/>
    </w:pPr>
    <w:rPr>
      <w:rFonts w:ascii="Times New Roman" w:hAnsi="Times New Roman" w:eastAsia="宋体" w:cs="Times New Roman"/>
    </w:rPr>
    <w:tblPr/>
  </w:style>
  <w:style w:type="table" w:styleId="1043">
    <w:name w:val="Bordered - Accent 1"/>
    <w:basedOn w:val="824"/>
    <w:next w:val="1043"/>
    <w:link w:val="813"/>
    <w:pPr>
      <w:spacing w:after="0" w:line="240" w:lineRule="auto"/>
    </w:pPr>
    <w:rPr>
      <w:rFonts w:ascii="Times New Roman" w:hAnsi="Times New Roman" w:eastAsia="宋体" w:cs="Times New Roman"/>
    </w:rPr>
    <w:tblPr/>
  </w:style>
  <w:style w:type="table" w:styleId="1044">
    <w:name w:val="Bordered - Accent 2"/>
    <w:basedOn w:val="824"/>
    <w:next w:val="1044"/>
    <w:link w:val="813"/>
    <w:pPr>
      <w:spacing w:after="0" w:line="240" w:lineRule="auto"/>
    </w:pPr>
    <w:rPr>
      <w:rFonts w:ascii="Times New Roman" w:hAnsi="Times New Roman" w:eastAsia="宋体" w:cs="Times New Roman"/>
    </w:rPr>
    <w:tblPr/>
  </w:style>
  <w:style w:type="table" w:styleId="1045">
    <w:name w:val="Bordered - Accent 3"/>
    <w:basedOn w:val="824"/>
    <w:next w:val="1045"/>
    <w:link w:val="813"/>
    <w:pPr>
      <w:spacing w:after="0" w:line="240" w:lineRule="auto"/>
    </w:pPr>
    <w:rPr>
      <w:rFonts w:ascii="Times New Roman" w:hAnsi="Times New Roman" w:eastAsia="宋体" w:cs="Times New Roman"/>
    </w:rPr>
    <w:tblPr/>
  </w:style>
  <w:style w:type="table" w:styleId="1046">
    <w:name w:val="Bordered - Accent 4"/>
    <w:basedOn w:val="824"/>
    <w:next w:val="1046"/>
    <w:link w:val="813"/>
    <w:pPr>
      <w:spacing w:after="0" w:line="240" w:lineRule="auto"/>
    </w:pPr>
    <w:rPr>
      <w:rFonts w:ascii="Times New Roman" w:hAnsi="Times New Roman" w:eastAsia="宋体" w:cs="Times New Roman"/>
    </w:rPr>
    <w:tblPr/>
  </w:style>
  <w:style w:type="table" w:styleId="1047">
    <w:name w:val="Bordered - Accent 5"/>
    <w:basedOn w:val="824"/>
    <w:next w:val="1047"/>
    <w:link w:val="813"/>
    <w:pPr>
      <w:spacing w:after="0" w:line="240" w:lineRule="auto"/>
    </w:pPr>
    <w:rPr>
      <w:rFonts w:ascii="Times New Roman" w:hAnsi="Times New Roman" w:eastAsia="宋体" w:cs="Times New Roman"/>
    </w:rPr>
    <w:tblPr/>
  </w:style>
  <w:style w:type="table" w:styleId="1048">
    <w:name w:val="Bordered - Accent 6"/>
    <w:basedOn w:val="824"/>
    <w:next w:val="1048"/>
    <w:link w:val="813"/>
    <w:pPr>
      <w:spacing w:after="0" w:line="240" w:lineRule="auto"/>
    </w:pPr>
    <w:rPr>
      <w:rFonts w:ascii="Times New Roman" w:hAnsi="Times New Roman" w:eastAsia="宋体" w:cs="Times New Roman"/>
    </w:rPr>
    <w:tblPr/>
  </w:style>
  <w:style w:type="paragraph" w:styleId="1049">
    <w:name w:val="TOC Heading"/>
    <w:next w:val="1049"/>
    <w:link w:val="813"/>
    <w:rPr>
      <w:rFonts w:ascii="Times New Roman" w:hAnsi="Times New Roman" w:eastAsia="宋体" w:cs="Times New Roman"/>
    </w:rPr>
  </w:style>
  <w:style w:type="paragraph" w:styleId="1050">
    <w:name w:val="正文_13"/>
    <w:next w:val="1050"/>
    <w:link w:val="813"/>
    <w:pPr>
      <w:jc w:val="both"/>
      <w:widowControl w:val="off"/>
    </w:pPr>
    <w:rPr>
      <w:rFonts w:ascii="Times New Roman" w:hAnsi="Times New Roman" w:eastAsia="宋体" w:cs="Times New Roman"/>
      <w:sz w:val="21"/>
      <w:szCs w:val="24"/>
      <w:lang w:val="en-US" w:eastAsia="zh-CN" w:bidi="ar-SA"/>
    </w:rPr>
  </w:style>
  <w:style w:type="paragraph" w:styleId="1051">
    <w:name w:val="Char"/>
    <w:basedOn w:val="813"/>
    <w:next w:val="1051"/>
    <w:link w:val="813"/>
    <w:pPr>
      <w:ind w:firstLine="922"/>
      <w:jc w:val="left"/>
      <w:spacing w:after="160" w:line="240" w:lineRule="exact"/>
      <w:widowControl/>
    </w:pPr>
    <w:rPr>
      <w:rFonts w:ascii="Arial" w:hAnsi="Arial" w:eastAsia="Times New Roman" w:cs="Verdana"/>
      <w:b/>
      <w:sz w:val="24"/>
      <w:szCs w:val="20"/>
      <w:lang w:eastAsia="en-US"/>
    </w:rPr>
  </w:style>
  <w:style w:type="character" w:styleId="1052">
    <w:name w:val="1 Char"/>
    <w:next w:val="1052"/>
    <w:link w:val="1053"/>
    <w:rPr>
      <w:rFonts w:ascii="Times New Roman" w:hAnsi="Times New Roman" w:eastAsia="宋体" w:cs="Times New Roman"/>
      <w:szCs w:val="24"/>
    </w:rPr>
  </w:style>
  <w:style w:type="paragraph" w:styleId="1053">
    <w:name w:val="1"/>
    <w:basedOn w:val="813"/>
    <w:next w:val="1053"/>
    <w:link w:val="1052"/>
    <w:pPr>
      <w:jc w:val="left"/>
      <w:spacing w:line="360" w:lineRule="auto"/>
    </w:pPr>
    <w:rPr>
      <w:rFonts w:ascii="Times New Roman" w:hAnsi="Times New Roman" w:eastAsia="宋体" w:cs="Times New Roman"/>
      <w:szCs w:val="24"/>
    </w:rPr>
  </w:style>
  <w:style w:type="paragraph" w:styleId="1054">
    <w:name w:val="列出段落"/>
    <w:basedOn w:val="813"/>
    <w:next w:val="1054"/>
    <w:link w:val="813"/>
    <w:pPr>
      <w:ind w:firstLine="420"/>
      <w:spacing w:line="360" w:lineRule="auto"/>
    </w:pPr>
    <w:rPr>
      <w:rFonts w:ascii="Times New Roman" w:hAnsi="Times New Roman" w:eastAsia="宋体" w:cs="Times New Roman"/>
      <w:szCs w:val="24"/>
    </w:rPr>
  </w:style>
  <w:style w:type="paragraph" w:styleId="1055">
    <w:name w:val="TOC 标题1"/>
    <w:basedOn w:val="814"/>
    <w:next w:val="813"/>
    <w:link w:val="813"/>
    <w:pPr>
      <w:numPr>
        <w:ilvl w:val="0"/>
        <w:numId w:val="0"/>
      </w:numPr>
      <w:jc w:val="left"/>
      <w:spacing w:before="480" w:line="276" w:lineRule="auto"/>
      <w:widowControl/>
      <w:tabs>
        <w:tab w:val="left" w:pos="360" w:leader="none"/>
      </w:tabs>
      <w:outlineLvl w:val="9"/>
    </w:pPr>
    <w:rPr>
      <w:rFonts w:ascii="Cambria" w:hAnsi="Cambria" w:eastAsia="宋体" w:cs="Times New Roman"/>
      <w:bCs/>
      <w:color w:val="365f91"/>
      <w:szCs w:val="28"/>
    </w:rPr>
  </w:style>
  <w:style w:type="character" w:styleId="1056">
    <w:name w:val="HTML 预设格式 Char1"/>
    <w:basedOn w:val="823"/>
    <w:next w:val="1056"/>
    <w:link w:val="813"/>
    <w:rPr>
      <w:rFonts w:ascii="Courier New" w:hAnsi="Courier New" w:eastAsia="宋体" w:cs="Courier New"/>
      <w:sz w:val="20"/>
      <w:szCs w:val="20"/>
    </w:rPr>
  </w:style>
  <w:style w:type="paragraph" w:styleId="1057">
    <w:name w:val="普通正文"/>
    <w:basedOn w:val="813"/>
    <w:next w:val="1057"/>
    <w:link w:val="1058"/>
    <w:pPr>
      <w:ind w:firstLine="480"/>
      <w:jc w:val="left"/>
      <w:spacing w:before="120" w:after="120" w:line="360" w:lineRule="auto"/>
    </w:pPr>
    <w:rPr>
      <w:rFonts w:ascii="Arial" w:hAnsi="Arial" w:eastAsia="宋体" w:cs="Times New Roman"/>
      <w:sz w:val="24"/>
      <w:szCs w:val="24"/>
    </w:rPr>
  </w:style>
  <w:style w:type="character" w:styleId="1058">
    <w:name w:val="普通正文 Char"/>
    <w:next w:val="1058"/>
    <w:link w:val="1057"/>
    <w:rPr>
      <w:rFonts w:ascii="Arial" w:hAnsi="Arial" w:eastAsia="宋体" w:cs="Times New Roman"/>
      <w:sz w:val="24"/>
      <w:szCs w:val="24"/>
    </w:rPr>
  </w:style>
  <w:style w:type="paragraph" w:styleId="1059">
    <w:name w:val="Char1"/>
    <w:basedOn w:val="813"/>
    <w:next w:val="1059"/>
    <w:link w:val="813"/>
    <w:pPr>
      <w:ind w:firstLine="922"/>
      <w:spacing w:line="360" w:lineRule="auto"/>
      <w:tabs>
        <w:tab w:val="left" w:pos="360" w:leader="none"/>
      </w:tabs>
    </w:pPr>
    <w:rPr>
      <w:rFonts w:ascii="Times New Roman" w:hAnsi="Times New Roman" w:eastAsia="宋体" w:cs="Times New Roman"/>
      <w:sz w:val="24"/>
      <w:szCs w:val="24"/>
    </w:rPr>
  </w:style>
  <w:style w:type="character" w:styleId="1060">
    <w:name w:val="NormalCharacter1"/>
    <w:next w:val="1060"/>
    <w:link w:val="813"/>
    <w:rPr>
      <w:rFonts w:ascii="Calibri" w:hAnsi="Calibri" w:eastAsia="宋体" w:cs="Times New Roman"/>
      <w:sz w:val="21"/>
      <w:szCs w:val="24"/>
      <w:lang w:val="en-US" w:eastAsia="zh-CN" w:bidi="ar-SA"/>
    </w:rPr>
  </w:style>
  <w:style w:type="paragraph" w:styleId="1061">
    <w:name w:val="p0"/>
    <w:basedOn w:val="813"/>
    <w:next w:val="1061"/>
    <w:link w:val="813"/>
    <w:pPr>
      <w:widowControl/>
    </w:pPr>
    <w:rPr>
      <w:rFonts w:ascii="Calibri" w:hAnsi="Calibri" w:eastAsia="宋体" w:cs="Times New Roman"/>
      <w:szCs w:val="21"/>
    </w:rPr>
  </w:style>
  <w:style w:type="paragraph" w:styleId="1062">
    <w:name w:val="修订1"/>
    <w:next w:val="1062"/>
    <w:link w:val="813"/>
    <w:rPr>
      <w:rFonts w:ascii="Calibri" w:hAnsi="Calibri" w:eastAsia="Arial" w:cs="Times New Roman"/>
      <w:sz w:val="21"/>
      <w:szCs w:val="22"/>
      <w:lang w:val="en-US" w:eastAsia="zh-CN" w:bidi="ar-SA"/>
    </w:rPr>
  </w:style>
  <w:style w:type="paragraph" w:styleId="1063">
    <w:name w:val="修订2"/>
    <w:next w:val="1063"/>
    <w:link w:val="813"/>
    <w:rPr>
      <w:rFonts w:ascii="Calibri" w:hAnsi="Calibri" w:eastAsia="Arial" w:cs="Times New Roman"/>
      <w:sz w:val="21"/>
      <w:szCs w:val="22"/>
      <w:lang w:val="en-US" w:eastAsia="zh-CN" w:bidi="ar-SA"/>
    </w:rPr>
  </w:style>
  <w:style w:type="character" w:styleId="1064">
    <w:name w:val="font01"/>
    <w:basedOn w:val="823"/>
    <w:next w:val="1064"/>
    <w:link w:val="813"/>
    <w:rPr>
      <w:rFonts w:hint="eastAsia" w:ascii="宋体" w:hAnsi="宋体" w:eastAsia="宋体" w:cs="宋体"/>
      <w:color w:val="000000"/>
      <w:sz w:val="22"/>
      <w:szCs w:val="22"/>
      <w:u w:val="none"/>
    </w:rPr>
  </w:style>
  <w:style w:type="table" w:styleId="1065">
    <w:name w:val="Table Normal"/>
    <w:next w:val="1065"/>
    <w:link w:val="813"/>
    <w:rPr>
      <w:rFonts w:ascii="Times New Roman" w:hAnsi="Times New Roman" w:eastAsia="宋体" w:cs="Times New Roman"/>
    </w:rPr>
    <w:tblPr/>
  </w:style>
  <w:style w:type="character" w:styleId="1066">
    <w:name w:val="font11"/>
    <w:basedOn w:val="823"/>
    <w:next w:val="1066"/>
    <w:link w:val="813"/>
    <w:rPr>
      <w:rFonts w:ascii="等线" w:hAnsi="等线" w:eastAsia="等线" w:cs="等线"/>
      <w:color w:val="000000"/>
      <w:sz w:val="24"/>
      <w:szCs w:val="24"/>
      <w:u w:val="none"/>
    </w:rPr>
  </w:style>
  <w:style w:type="paragraph" w:styleId="1067">
    <w:name w:val="列出段落2"/>
    <w:basedOn w:val="813"/>
    <w:next w:val="1067"/>
    <w:link w:val="813"/>
    <w:pPr>
      <w:ind w:firstLine="420"/>
      <w:jc w:val="left"/>
      <w:spacing w:line="360" w:lineRule="auto"/>
    </w:pPr>
    <w:rPr>
      <w:rFonts w:ascii="Calibri" w:hAnsi="Calibri" w:eastAsia="宋体" w:cs="Times New Roman"/>
      <w:szCs w:val="22"/>
    </w:rPr>
  </w:style>
  <w:style w:type="paragraph" w:styleId="1068">
    <w:name w:val="正  文"/>
    <w:basedOn w:val="813"/>
    <w:next w:val="1068"/>
    <w:link w:val="813"/>
    <w:pPr>
      <w:ind w:firstLine="200"/>
      <w:spacing w:line="360" w:lineRule="auto"/>
    </w:pPr>
    <w:rPr>
      <w:rFonts w:ascii="Times New Roman" w:hAnsi="Times New Roman" w:eastAsia="宋体" w:cs="Times New Roman"/>
      <w:szCs w:val="21"/>
    </w:rPr>
  </w:style>
  <w:style w:type="paragraph" w:styleId="1069">
    <w:name w:val="cucd-0"/>
    <w:next w:val="1069"/>
    <w:link w:val="813"/>
    <w:pPr>
      <w:ind w:firstLine="480"/>
      <w:jc w:val="left"/>
      <w:spacing w:after="200" w:line="360" w:lineRule="auto"/>
      <w:widowControl/>
    </w:pPr>
    <w:rPr>
      <w:rFonts w:ascii="Times New Roman" w:hAnsi="Times New Roman" w:eastAsia="宋体" w:cs="Times New Roman"/>
      <w:sz w:val="28"/>
      <w:szCs w:val="24"/>
      <w:lang w:val="en-US" w:eastAsia="zh-CN" w:bidi="ar-SA"/>
    </w:rPr>
  </w:style>
  <w:style w:type="paragraph" w:styleId="1070">
    <w:name w:val="段"/>
    <w:next w:val="813"/>
    <w:link w:val="813"/>
    <w:pPr>
      <w:ind w:firstLine="200"/>
      <w:jc w:val="both"/>
      <w:spacing w:line="360" w:lineRule="auto"/>
    </w:pPr>
    <w:rPr>
      <w:rFonts w:ascii="宋体" w:hAnsi="Calibri" w:eastAsia="宋体" w:cs="Times New Roman"/>
      <w:sz w:val="24"/>
      <w:szCs w:val="22"/>
      <w:lang w:val="en-US" w:eastAsia="zh-CN" w:bidi="ar-SA"/>
    </w:rPr>
  </w:style>
  <w:style w:type="paragraph" w:styleId="1071">
    <w:name w:val="普通(网站)1"/>
    <w:next w:val="1071"/>
    <w:link w:val="813"/>
    <w:uiPriority w:val="99"/>
    <w:qFormat/>
    <w:pPr>
      <w:jc w:val="left"/>
      <w:spacing w:before="100" w:beforeAutospacing="1" w:after="100" w:afterAutospacing="1"/>
      <w:widowControl/>
    </w:pPr>
    <w:rPr>
      <w:rFonts w:ascii="Tahoma" w:hAnsi="Tahoma" w:eastAsia="宋体" w:cs="Times New Roman"/>
      <w:sz w:val="24"/>
      <w:szCs w:val="24"/>
      <w:lang w:val="en-US" w:eastAsia="zh-CN" w:bidi="ar-SA"/>
    </w:rPr>
  </w:style>
  <w:style w:type="paragraph" w:styleId="1072">
    <w:name w:val="列出段落1"/>
    <w:next w:val="1072"/>
    <w:link w:val="813"/>
    <w:qFormat/>
    <w:pPr>
      <w:contextualSpacing/>
      <w:ind w:left="720"/>
      <w:jc w:val="left"/>
      <w:widowControl/>
    </w:pPr>
    <w:rPr>
      <w:rFonts w:ascii="Calibri" w:hAnsi="Calibri" w:eastAsia="宋体" w:cs="Times New Roman"/>
      <w:sz w:val="24"/>
      <w:szCs w:val="24"/>
      <w:lang w:val="en-US" w:eastAsia="en-US" w:bidi="en-US"/>
    </w:rPr>
  </w:style>
  <w:style w:type="character" w:styleId="10684" w:default="1">
    <w:name w:val="Default Paragraph Font"/>
    <w:uiPriority w:val="1"/>
    <w:semiHidden/>
    <w:unhideWhenUsed/>
  </w:style>
  <w:style w:type="numbering" w:styleId="10685" w:default="1">
    <w:name w:val="No List"/>
    <w:uiPriority w:val="99"/>
    <w:semiHidden/>
    <w:unhideWhenUsed/>
  </w:style>
  <w:style w:type="table" w:styleId="106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dc:creator>
  <cp:lastModifiedBy>邢欢</cp:lastModifiedBy>
  <cp:revision>3</cp:revision>
  <dcterms:created xsi:type="dcterms:W3CDTF">2023-10-31T09:39:00Z</dcterms:created>
  <dcterms:modified xsi:type="dcterms:W3CDTF">2026-05-08T07:28:22Z</dcterms:modified>
</cp:coreProperties>
</file>